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66F59" w14:textId="33CDF2D0" w:rsidR="007A157B" w:rsidRPr="00FB3491" w:rsidRDefault="007A157B" w:rsidP="007A157B">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A71A5B">
        <w:rPr>
          <w:rFonts w:cs="Arial"/>
          <w:b/>
          <w:noProof/>
          <w:sz w:val="24"/>
          <w:szCs w:val="24"/>
        </w:rPr>
        <w:t>9</w:t>
      </w:r>
      <w:r w:rsidRPr="00FB3491">
        <w:rPr>
          <w:rFonts w:cs="Arial"/>
          <w:b/>
          <w:i/>
          <w:noProof/>
          <w:sz w:val="24"/>
          <w:szCs w:val="24"/>
        </w:rPr>
        <w:tab/>
      </w:r>
      <w:r>
        <w:rPr>
          <w:rFonts w:cs="Arial"/>
          <w:b/>
          <w:i/>
          <w:noProof/>
          <w:sz w:val="24"/>
          <w:szCs w:val="24"/>
        </w:rPr>
        <w:t>R4-</w:t>
      </w:r>
      <w:r w:rsidR="00C543DB">
        <w:rPr>
          <w:rFonts w:cs="Arial"/>
          <w:b/>
          <w:i/>
          <w:noProof/>
          <w:sz w:val="24"/>
          <w:szCs w:val="24"/>
        </w:rPr>
        <w:t>23</w:t>
      </w:r>
      <w:r w:rsidR="009F6AB0">
        <w:rPr>
          <w:rFonts w:cs="Arial"/>
          <w:b/>
          <w:i/>
          <w:noProof/>
          <w:sz w:val="24"/>
          <w:szCs w:val="24"/>
        </w:rPr>
        <w:t>1</w:t>
      </w:r>
      <w:r w:rsidR="00491663">
        <w:rPr>
          <w:rFonts w:cs="Arial"/>
          <w:b/>
          <w:i/>
          <w:noProof/>
          <w:sz w:val="24"/>
          <w:szCs w:val="24"/>
        </w:rPr>
        <w:t>8400</w:t>
      </w:r>
    </w:p>
    <w:p w14:paraId="1A5A90A9" w14:textId="37F8E5B1" w:rsidR="007A157B" w:rsidRPr="00FB3491" w:rsidRDefault="00A71A5B" w:rsidP="007A157B">
      <w:pPr>
        <w:tabs>
          <w:tab w:val="right" w:pos="9639"/>
        </w:tabs>
        <w:spacing w:after="100" w:afterAutospacing="1"/>
        <w:rPr>
          <w:rFonts w:ascii="Arial" w:eastAsia="MS Mincho" w:hAnsi="Arial" w:cs="Arial"/>
          <w:b/>
          <w:sz w:val="24"/>
          <w:szCs w:val="24"/>
        </w:rPr>
      </w:pPr>
      <w:r>
        <w:rPr>
          <w:rFonts w:ascii="Arial" w:hAnsi="Arial" w:cs="Arial" w:hint="eastAsia"/>
          <w:b/>
          <w:noProof/>
          <w:sz w:val="24"/>
          <w:szCs w:val="24"/>
          <w:lang w:eastAsia="zh-CN"/>
        </w:rPr>
        <w:t>Chicago</w:t>
      </w:r>
      <w:r w:rsidR="007A157B" w:rsidRPr="00FB3491">
        <w:rPr>
          <w:rFonts w:ascii="Arial" w:hAnsi="Arial" w:cs="Arial"/>
          <w:b/>
          <w:noProof/>
          <w:sz w:val="24"/>
          <w:szCs w:val="24"/>
        </w:rPr>
        <w:t xml:space="preserve">, </w:t>
      </w:r>
      <w:r>
        <w:rPr>
          <w:rFonts w:ascii="Arial" w:hAnsi="Arial" w:cs="Arial" w:hint="eastAsia"/>
          <w:b/>
          <w:noProof/>
          <w:sz w:val="24"/>
          <w:szCs w:val="24"/>
          <w:lang w:eastAsia="zh-CN"/>
        </w:rPr>
        <w:t>US</w:t>
      </w:r>
      <w:r w:rsidR="007A157B" w:rsidRPr="00FB3491">
        <w:rPr>
          <w:rFonts w:ascii="Arial" w:hAnsi="Arial" w:cs="Arial"/>
          <w:b/>
          <w:noProof/>
          <w:sz w:val="24"/>
          <w:szCs w:val="24"/>
        </w:rPr>
        <w:t xml:space="preserve">, </w:t>
      </w:r>
      <w:r w:rsidR="00550A48">
        <w:rPr>
          <w:rFonts w:ascii="Arial" w:hAnsi="Arial" w:cs="Arial"/>
          <w:b/>
          <w:noProof/>
          <w:sz w:val="24"/>
          <w:szCs w:val="24"/>
          <w:lang w:eastAsia="zh-CN"/>
        </w:rPr>
        <w:t>November</w:t>
      </w:r>
      <w:r>
        <w:rPr>
          <w:rFonts w:ascii="Arial" w:hAnsi="Arial" w:cs="Arial"/>
          <w:b/>
          <w:noProof/>
          <w:sz w:val="24"/>
          <w:szCs w:val="24"/>
        </w:rPr>
        <w:t xml:space="preserve"> 13</w:t>
      </w:r>
      <w:r w:rsidR="007A157B" w:rsidRPr="00FB3491">
        <w:rPr>
          <w:rFonts w:ascii="Arial" w:hAnsi="Arial" w:cs="Arial"/>
          <w:b/>
          <w:noProof/>
          <w:sz w:val="24"/>
          <w:szCs w:val="24"/>
        </w:rPr>
        <w:t xml:space="preserve"> – </w:t>
      </w:r>
      <w:r w:rsidR="00550A48">
        <w:rPr>
          <w:rFonts w:ascii="Arial" w:hAnsi="Arial" w:cs="Arial"/>
          <w:b/>
          <w:noProof/>
          <w:sz w:val="24"/>
          <w:szCs w:val="24"/>
          <w:lang w:eastAsia="zh-CN"/>
        </w:rPr>
        <w:t>November</w:t>
      </w:r>
      <w:r>
        <w:rPr>
          <w:rFonts w:ascii="Arial" w:hAnsi="Arial" w:cs="Arial"/>
          <w:b/>
          <w:noProof/>
          <w:sz w:val="24"/>
          <w:szCs w:val="24"/>
        </w:rPr>
        <w:t xml:space="preserve"> </w:t>
      </w:r>
      <w:r w:rsidR="007A157B">
        <w:rPr>
          <w:rFonts w:ascii="Arial" w:hAnsi="Arial" w:cs="Arial"/>
          <w:b/>
          <w:noProof/>
          <w:sz w:val="24"/>
          <w:szCs w:val="24"/>
        </w:rPr>
        <w:t>1</w:t>
      </w:r>
      <w:r>
        <w:rPr>
          <w:rFonts w:ascii="Arial" w:hAnsi="Arial" w:cs="Arial"/>
          <w:b/>
          <w:noProof/>
          <w:sz w:val="24"/>
          <w:szCs w:val="24"/>
        </w:rPr>
        <w:t>7</w:t>
      </w:r>
      <w:r w:rsidR="007A157B" w:rsidRPr="00FB3491">
        <w:rPr>
          <w:rFonts w:ascii="Arial" w:hAnsi="Arial" w:cs="Arial"/>
          <w:b/>
          <w:noProof/>
          <w:sz w:val="24"/>
          <w:szCs w:val="24"/>
        </w:rPr>
        <w:t>, 2023</w:t>
      </w:r>
    </w:p>
    <w:p w14:paraId="1F6C6961" w14:textId="77777777"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78ADA77F" w14:textId="77777777" w:rsidR="001A2422" w:rsidRPr="001A2422" w:rsidRDefault="007A157B" w:rsidP="00B61D37">
      <w:pPr>
        <w:spacing w:after="120"/>
        <w:ind w:left="1985" w:hanging="1985"/>
        <w:jc w:val="left"/>
        <w:rPr>
          <w:rFonts w:ascii="Arial" w:eastAsiaTheme="minorEastAsia" w:hAnsi="Arial" w:cs="Arial"/>
          <w:color w:val="000000"/>
          <w:sz w:val="22"/>
          <w:lang w:eastAsia="zh-CN"/>
        </w:rPr>
      </w:pPr>
      <w:r w:rsidRPr="001A2422">
        <w:rPr>
          <w:rFonts w:ascii="Arial" w:eastAsia="MS Mincho" w:hAnsi="Arial" w:cs="Arial"/>
          <w:b/>
          <w:sz w:val="22"/>
        </w:rPr>
        <w:t>Title:</w:t>
      </w:r>
      <w:r w:rsidRPr="001A2422">
        <w:rPr>
          <w:rFonts w:ascii="Arial" w:eastAsia="MS Mincho" w:hAnsi="Arial" w:cs="Arial"/>
          <w:b/>
          <w:sz w:val="22"/>
        </w:rPr>
        <w:tab/>
      </w:r>
      <w:r w:rsidR="00624280" w:rsidRPr="001A2422">
        <w:rPr>
          <w:rFonts w:ascii="Arial" w:eastAsiaTheme="minorEastAsia" w:hAnsi="Arial" w:cs="Arial"/>
          <w:color w:val="000000"/>
          <w:sz w:val="22"/>
          <w:lang w:eastAsia="zh-CN"/>
        </w:rPr>
        <w:t xml:space="preserve">Input to Rel-18 RAN4 UE feature list for Rel-18 </w:t>
      </w:r>
      <w:r w:rsidR="001A2422" w:rsidRPr="001A2422">
        <w:rPr>
          <w:rFonts w:ascii="Arial" w:eastAsiaTheme="minorEastAsia" w:hAnsi="Arial" w:cs="Arial"/>
          <w:color w:val="000000"/>
          <w:sz w:val="22"/>
          <w:lang w:eastAsia="zh-CN"/>
        </w:rPr>
        <w:t>NR_MIMO_evo_DL_UL</w:t>
      </w:r>
    </w:p>
    <w:p w14:paraId="1D137ABE" w14:textId="3D477857" w:rsidR="007A157B" w:rsidRPr="001A2422" w:rsidRDefault="00624280" w:rsidP="00B61D37">
      <w:pPr>
        <w:spacing w:after="120"/>
        <w:ind w:left="1985" w:hanging="1985"/>
        <w:jc w:val="left"/>
        <w:rPr>
          <w:rFonts w:ascii="Arial" w:eastAsiaTheme="minorEastAsia" w:hAnsi="Arial" w:cs="Arial"/>
          <w:color w:val="000000"/>
          <w:sz w:val="22"/>
          <w:lang w:eastAsia="zh-CN"/>
        </w:rPr>
      </w:pPr>
      <w:r w:rsidRPr="001A2422">
        <w:rPr>
          <w:rFonts w:ascii="Arial" w:eastAsiaTheme="minorEastAsia" w:hAnsi="Arial" w:cs="Arial"/>
          <w:color w:val="000000"/>
          <w:sz w:val="22"/>
          <w:lang w:eastAsia="zh-CN"/>
        </w:rPr>
        <w:t xml:space="preserve"> </w:t>
      </w:r>
      <w:r w:rsidR="00B61D37">
        <w:rPr>
          <w:rFonts w:ascii="Arial" w:eastAsiaTheme="minorEastAsia" w:hAnsi="Arial" w:cs="Arial"/>
          <w:color w:val="000000"/>
          <w:sz w:val="22"/>
          <w:lang w:eastAsia="zh-CN"/>
        </w:rPr>
        <w:t xml:space="preserve">                                </w:t>
      </w:r>
      <w:r w:rsidRPr="001A2422">
        <w:rPr>
          <w:rFonts w:ascii="Arial" w:eastAsiaTheme="minorEastAsia" w:hAnsi="Arial" w:cs="Arial"/>
          <w:color w:val="000000"/>
          <w:sz w:val="22"/>
          <w:lang w:eastAsia="zh-CN"/>
        </w:rPr>
        <w:t xml:space="preserve">and </w:t>
      </w:r>
      <w:r w:rsidR="001A2422" w:rsidRPr="001A2422">
        <w:rPr>
          <w:rFonts w:ascii="Arial" w:eastAsiaTheme="minorEastAsia" w:hAnsi="Arial" w:cs="Arial"/>
          <w:color w:val="000000"/>
          <w:sz w:val="22"/>
          <w:lang w:eastAsia="zh-CN"/>
        </w:rPr>
        <w:t>NR_HST_FR2_enh</w:t>
      </w:r>
      <w:r w:rsidR="001A2422">
        <w:rPr>
          <w:rFonts w:ascii="Arial" w:eastAsiaTheme="minorEastAsia" w:hAnsi="Arial" w:cs="Arial"/>
          <w:color w:val="000000"/>
          <w:sz w:val="22"/>
          <w:lang w:eastAsia="zh-CN"/>
        </w:rPr>
        <w:t xml:space="preserve"> WI</w:t>
      </w:r>
    </w:p>
    <w:p w14:paraId="0F588FF6" w14:textId="5B480BC2" w:rsidR="007A157B" w:rsidRPr="00164A66" w:rsidRDefault="007A157B" w:rsidP="007A157B">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624280">
        <w:rPr>
          <w:rFonts w:ascii="Arial" w:eastAsiaTheme="minorEastAsia" w:hAnsi="Arial" w:cs="Arial"/>
          <w:color w:val="000000"/>
          <w:sz w:val="22"/>
          <w:lang w:eastAsia="zh-CN"/>
        </w:rPr>
        <w:t>11</w:t>
      </w:r>
    </w:p>
    <w:p w14:paraId="5397880A" w14:textId="77777777" w:rsidR="007A157B" w:rsidRPr="00164A66" w:rsidRDefault="007A157B" w:rsidP="007A157B">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Pr="00164A66">
        <w:rPr>
          <w:rFonts w:ascii="Arial" w:eastAsia="MS Mincho" w:hAnsi="Arial" w:cs="Arial"/>
          <w:color w:val="000000"/>
          <w:sz w:val="22"/>
          <w:lang w:eastAsia="ja-JP"/>
        </w:rPr>
        <w:t>Discussion</w:t>
      </w:r>
    </w:p>
    <w:p w14:paraId="6445154C" w14:textId="0E35B3BE"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3D3D42B6" w14:textId="7EC41056" w:rsidR="00624280" w:rsidRPr="001A2422" w:rsidRDefault="00624280" w:rsidP="001A2422">
      <w:r w:rsidRPr="001A2422">
        <w:rPr>
          <w:rFonts w:hint="eastAsia"/>
        </w:rPr>
        <w:t>According</w:t>
      </w:r>
      <w:r w:rsidRPr="001A2422">
        <w:t xml:space="preserve"> </w:t>
      </w:r>
      <w:r w:rsidRPr="001A2422">
        <w:rPr>
          <w:rFonts w:hint="eastAsia"/>
        </w:rPr>
        <w:t>to</w:t>
      </w:r>
      <w:r w:rsidRPr="001A2422">
        <w:t xml:space="preserve"> Rel-18 timeline, </w:t>
      </w:r>
      <w:r w:rsidRPr="001A2422">
        <w:rPr>
          <w:rFonts w:hint="eastAsia"/>
        </w:rPr>
        <w:t>final</w:t>
      </w:r>
      <w:r w:rsidRPr="001A2422">
        <w:t xml:space="preserve"> </w:t>
      </w:r>
      <w:r w:rsidRPr="001A2422">
        <w:rPr>
          <w:rFonts w:hint="eastAsia"/>
        </w:rPr>
        <w:t>ASN.1</w:t>
      </w:r>
      <w:r w:rsidRPr="001A2422">
        <w:t xml:space="preserve"> </w:t>
      </w:r>
      <w:r w:rsidRPr="001A2422">
        <w:rPr>
          <w:rFonts w:hint="eastAsia"/>
        </w:rPr>
        <w:t>frozen</w:t>
      </w:r>
      <w:r w:rsidRPr="001A2422">
        <w:t xml:space="preserve"> </w:t>
      </w:r>
      <w:r w:rsidRPr="001A2422">
        <w:rPr>
          <w:rFonts w:hint="eastAsia"/>
        </w:rPr>
        <w:t>is</w:t>
      </w:r>
      <w:r w:rsidRPr="001A2422">
        <w:t xml:space="preserve"> </w:t>
      </w:r>
      <w:r w:rsidRPr="001A2422">
        <w:rPr>
          <w:rFonts w:hint="eastAsia"/>
        </w:rPr>
        <w:t>June</w:t>
      </w:r>
      <w:r w:rsidRPr="001A2422">
        <w:t xml:space="preserve"> 2024 </w:t>
      </w:r>
      <w:r w:rsidRPr="001A2422">
        <w:rPr>
          <w:rFonts w:hint="eastAsia"/>
        </w:rPr>
        <w:t>with</w:t>
      </w:r>
      <w:r w:rsidRPr="001A2422">
        <w:t xml:space="preserve"> </w:t>
      </w:r>
      <w:r w:rsidRPr="001A2422">
        <w:rPr>
          <w:rFonts w:hint="eastAsia"/>
        </w:rPr>
        <w:t>initial</w:t>
      </w:r>
      <w:r w:rsidRPr="001A2422">
        <w:t xml:space="preserve"> </w:t>
      </w:r>
      <w:r w:rsidRPr="001A2422">
        <w:rPr>
          <w:rFonts w:hint="eastAsia"/>
        </w:rPr>
        <w:t>version</w:t>
      </w:r>
      <w:r w:rsidRPr="001A2422">
        <w:t xml:space="preserve"> in March 2024 and RAN4 shall finalize Rel-18 UE feature list as early as possible.  This contribution provides the input to RAN4 UE feature list for </w:t>
      </w:r>
      <w:r w:rsidR="001A2422" w:rsidRPr="001A2422">
        <w:t>Rel-18 NR_MIMO_evo_DL_UL</w:t>
      </w:r>
      <w:r w:rsidR="001A2422">
        <w:t xml:space="preserve"> </w:t>
      </w:r>
      <w:r w:rsidR="001A2422" w:rsidRPr="001A2422">
        <w:t xml:space="preserve">and NR_HST_FR2_enh </w:t>
      </w:r>
      <w:r w:rsidRPr="001A2422">
        <w:t xml:space="preserve">as </w:t>
      </w:r>
      <w:r w:rsidR="001A2422" w:rsidRPr="001A2422">
        <w:t>rapporteur</w:t>
      </w:r>
      <w:r w:rsidRPr="001A2422">
        <w:t xml:space="preserve"> company based on discussion status of each indi</w:t>
      </w:r>
      <w:r w:rsidR="001A2422">
        <w:t>vi</w:t>
      </w:r>
      <w:r w:rsidRPr="001A2422">
        <w:t>dual WIs.</w:t>
      </w:r>
    </w:p>
    <w:p w14:paraId="7F59A391" w14:textId="14E614C0"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59B6C218" w14:textId="0B8424B3" w:rsidR="0021041A" w:rsidRPr="001A2422" w:rsidRDefault="0021041A" w:rsidP="001A2422">
      <w:pPr>
        <w:pStyle w:val="2"/>
        <w:rPr>
          <w:lang w:val="en-GB" w:eastAsia="ja-JP"/>
        </w:rPr>
      </w:pPr>
      <w:r>
        <w:rPr>
          <w:lang w:val="en-GB" w:eastAsia="ja-JP"/>
        </w:rPr>
        <w:t>2.1</w:t>
      </w:r>
      <w:r>
        <w:rPr>
          <w:lang w:val="en-GB" w:eastAsia="ja-JP"/>
        </w:rPr>
        <w:tab/>
      </w:r>
      <w:r>
        <w:rPr>
          <w:lang w:val="en-GB" w:eastAsia="ja-JP"/>
        </w:rPr>
        <w:tab/>
      </w:r>
      <w:r w:rsidR="00624280">
        <w:rPr>
          <w:lang w:val="en-GB" w:eastAsia="ja-JP"/>
        </w:rPr>
        <w:t xml:space="preserve">Rel-18 </w:t>
      </w:r>
      <w:r w:rsidR="001A2422" w:rsidRPr="001A2422">
        <w:rPr>
          <w:lang w:val="en-GB" w:eastAsia="ja-JP"/>
        </w:rPr>
        <w:t xml:space="preserve">NR_MIMO_evo_DL_UL </w:t>
      </w:r>
      <w:r w:rsidR="00624280" w:rsidRPr="001A2422">
        <w:rPr>
          <w:lang w:val="en-GB" w:eastAsia="ja-JP"/>
        </w:rPr>
        <w:t xml:space="preserve">WI </w:t>
      </w:r>
    </w:p>
    <w:p w14:paraId="7DD6D32C" w14:textId="16E12098" w:rsidR="00624280" w:rsidRDefault="00624280" w:rsidP="00624280">
      <w:pPr>
        <w:rPr>
          <w:lang w:eastAsia="ja-JP"/>
        </w:rPr>
      </w:pPr>
      <w:r>
        <w:rPr>
          <w:lang w:eastAsia="ja-JP"/>
        </w:rPr>
        <w:t xml:space="preserve">RAN1 already concluded </w:t>
      </w:r>
      <w:r w:rsidR="001A2422">
        <w:rPr>
          <w:lang w:eastAsia="ja-JP"/>
        </w:rPr>
        <w:t xml:space="preserve">R18 </w:t>
      </w:r>
      <w:r w:rsidR="00E60185">
        <w:rPr>
          <w:lang w:eastAsia="ja-JP"/>
        </w:rPr>
        <w:t xml:space="preserve">MIMO </w:t>
      </w:r>
      <w:r>
        <w:rPr>
          <w:lang w:eastAsia="ja-JP"/>
        </w:rPr>
        <w:t xml:space="preserve">feature list as in [1]. Based on the discussion in RAN4 till now, no additional new UE feature list </w:t>
      </w:r>
      <w:r w:rsidR="00E60185">
        <w:rPr>
          <w:lang w:eastAsia="ja-JP"/>
        </w:rPr>
        <w:t xml:space="preserve">will be specified from RAN4 perspective. </w:t>
      </w:r>
    </w:p>
    <w:p w14:paraId="3135BF55" w14:textId="7238F8DD" w:rsidR="00FA138C" w:rsidRDefault="00FA138C" w:rsidP="00FA138C">
      <w:pPr>
        <w:pStyle w:val="2"/>
        <w:rPr>
          <w:lang w:val="en-GB" w:eastAsia="ja-JP"/>
        </w:rPr>
      </w:pPr>
      <w:r>
        <w:rPr>
          <w:lang w:val="en-GB" w:eastAsia="ja-JP"/>
        </w:rPr>
        <w:t>2.2</w:t>
      </w:r>
      <w:r>
        <w:rPr>
          <w:lang w:val="en-GB" w:eastAsia="ja-JP"/>
        </w:rPr>
        <w:tab/>
      </w:r>
      <w:r>
        <w:rPr>
          <w:lang w:val="en-GB" w:eastAsia="ja-JP"/>
        </w:rPr>
        <w:tab/>
        <w:t xml:space="preserve">Rel-18 </w:t>
      </w:r>
      <w:r w:rsidR="001A2422" w:rsidRPr="001A2422">
        <w:t>NR_HST_FR2_enh</w:t>
      </w:r>
    </w:p>
    <w:p w14:paraId="0EB027F4" w14:textId="22BA6F32" w:rsidR="001A2422" w:rsidRPr="00C12B4D" w:rsidRDefault="001A2422" w:rsidP="001A2422">
      <w:pPr>
        <w:rPr>
          <w:lang w:eastAsia="ja-JP"/>
        </w:rPr>
      </w:pPr>
      <w:r w:rsidRPr="00C12B4D">
        <w:rPr>
          <w:lang w:eastAsia="ja-JP"/>
        </w:rPr>
        <w:t xml:space="preserve">For Rel-18 FR2 HST, </w:t>
      </w:r>
      <w:r w:rsidR="00C12B4D" w:rsidRPr="00C12B4D">
        <w:rPr>
          <w:lang w:eastAsia="ja-JP"/>
        </w:rPr>
        <w:t xml:space="preserve">several </w:t>
      </w:r>
      <w:r w:rsidR="008B4444" w:rsidRPr="00C12B4D">
        <w:rPr>
          <w:lang w:eastAsia="ja-JP"/>
        </w:rPr>
        <w:t xml:space="preserve">new UE </w:t>
      </w:r>
      <w:r w:rsidR="00C12B4D" w:rsidRPr="00C12B4D">
        <w:rPr>
          <w:lang w:eastAsia="ja-JP"/>
        </w:rPr>
        <w:t>capabilit</w:t>
      </w:r>
      <w:r w:rsidR="00C12B4D">
        <w:rPr>
          <w:lang w:eastAsia="ja-JP"/>
        </w:rPr>
        <w:t>ies</w:t>
      </w:r>
      <w:r w:rsidR="00C12B4D" w:rsidRPr="00C12B4D">
        <w:rPr>
          <w:lang w:eastAsia="ja-JP"/>
        </w:rPr>
        <w:t xml:space="preserve"> for UE </w:t>
      </w:r>
      <w:r w:rsidR="00B61D37">
        <w:rPr>
          <w:lang w:eastAsia="ja-JP"/>
        </w:rPr>
        <w:t xml:space="preserve">RF and or </w:t>
      </w:r>
      <w:r w:rsidR="00C12B4D" w:rsidRPr="00C12B4D">
        <w:rPr>
          <w:lang w:eastAsia="zh-CN"/>
        </w:rPr>
        <w:t>RRM</w:t>
      </w:r>
      <w:r w:rsidR="00C12B4D" w:rsidRPr="00C12B4D">
        <w:rPr>
          <w:lang w:eastAsia="ja-JP"/>
        </w:rPr>
        <w:t xml:space="preserve"> requirement were introduced </w:t>
      </w:r>
      <w:r w:rsidRPr="00C12B4D">
        <w:rPr>
          <w:lang w:eastAsia="ja-JP"/>
        </w:rPr>
        <w:t xml:space="preserve">and </w:t>
      </w:r>
      <w:r w:rsidR="00C12B4D" w:rsidRPr="00C12B4D">
        <w:rPr>
          <w:lang w:eastAsia="ja-JP"/>
        </w:rPr>
        <w:t xml:space="preserve">the discussion on corresponding </w:t>
      </w:r>
      <w:r w:rsidRPr="00C12B4D">
        <w:rPr>
          <w:lang w:eastAsia="ja-JP"/>
        </w:rPr>
        <w:t xml:space="preserve">UE feature list </w:t>
      </w:r>
      <w:r w:rsidR="00C12B4D">
        <w:rPr>
          <w:lang w:eastAsia="ja-JP"/>
        </w:rPr>
        <w:t>are</w:t>
      </w:r>
      <w:r w:rsidR="00C12B4D" w:rsidRPr="00C12B4D">
        <w:rPr>
          <w:lang w:eastAsia="ja-JP"/>
        </w:rPr>
        <w:t xml:space="preserve"> </w:t>
      </w:r>
      <w:r w:rsidRPr="00C12B4D">
        <w:rPr>
          <w:lang w:eastAsia="ja-JP"/>
        </w:rPr>
        <w:t xml:space="preserve">still on going as the status summarized </w:t>
      </w:r>
      <w:r w:rsidR="00B61D37">
        <w:rPr>
          <w:lang w:eastAsia="ja-JP"/>
        </w:rPr>
        <w:t>below</w:t>
      </w:r>
      <w:r w:rsidRPr="00C12B4D">
        <w:rPr>
          <w:lang w:eastAsia="ja-JP"/>
        </w:rPr>
        <w:t>:</w:t>
      </w:r>
    </w:p>
    <w:p w14:paraId="2D85D807" w14:textId="77777777" w:rsidR="001A2422" w:rsidRPr="00C12B4D" w:rsidRDefault="001A2422" w:rsidP="00D47155">
      <w:pPr>
        <w:pStyle w:val="aff6"/>
        <w:numPr>
          <w:ilvl w:val="0"/>
          <w:numId w:val="12"/>
        </w:numPr>
        <w:ind w:firstLineChars="0"/>
      </w:pPr>
      <w:r w:rsidRPr="00C12B4D">
        <w:t>Simultaneous multi-panel operation for train roof-mounted FR2 high power devices</w:t>
      </w:r>
    </w:p>
    <w:p w14:paraId="51BA45B4" w14:textId="357C9E47" w:rsidR="001A2422" w:rsidRPr="00C12B4D" w:rsidRDefault="00D47155" w:rsidP="00D47155">
      <w:pPr>
        <w:pStyle w:val="aff6"/>
        <w:numPr>
          <w:ilvl w:val="1"/>
          <w:numId w:val="13"/>
        </w:numPr>
        <w:spacing w:after="120" w:line="240" w:lineRule="auto"/>
        <w:ind w:firstLineChars="0"/>
        <w:jc w:val="left"/>
      </w:pPr>
      <w:r w:rsidRPr="00C12B4D">
        <w:rPr>
          <w:highlight w:val="green"/>
        </w:rPr>
        <w:t>RAN4 agreed to define a new UE capability [simultaneousReceptionFR2HST-r18] to indicate support of simultaneous multi-panel reception for Rel-18 FR2 PC6 UE</w:t>
      </w:r>
    </w:p>
    <w:p w14:paraId="08D0C870" w14:textId="48219860" w:rsidR="00243618" w:rsidRPr="00C12B4D" w:rsidRDefault="00243618" w:rsidP="00D47155">
      <w:pPr>
        <w:pStyle w:val="aff6"/>
        <w:numPr>
          <w:ilvl w:val="1"/>
          <w:numId w:val="13"/>
        </w:numPr>
        <w:spacing w:after="120" w:line="240" w:lineRule="auto"/>
        <w:ind w:firstLineChars="0"/>
        <w:jc w:val="left"/>
      </w:pPr>
      <w:r w:rsidRPr="00C12B4D">
        <w:t>FFS on detailed UE feature list</w:t>
      </w:r>
    </w:p>
    <w:p w14:paraId="10D39F94" w14:textId="490690A7" w:rsidR="00FA138C" w:rsidRPr="00C12B4D" w:rsidRDefault="00D47155" w:rsidP="00D47155">
      <w:pPr>
        <w:pStyle w:val="aff6"/>
        <w:numPr>
          <w:ilvl w:val="0"/>
          <w:numId w:val="12"/>
        </w:numPr>
        <w:ind w:firstLineChars="0"/>
      </w:pPr>
      <w:r w:rsidRPr="00C12B4D">
        <w:t>CA</w:t>
      </w:r>
    </w:p>
    <w:p w14:paraId="1BE82C50" w14:textId="61AD1908" w:rsidR="00D47155" w:rsidRPr="00C12B4D" w:rsidRDefault="00D47155" w:rsidP="00D47155">
      <w:pPr>
        <w:pStyle w:val="aff6"/>
        <w:numPr>
          <w:ilvl w:val="1"/>
          <w:numId w:val="13"/>
        </w:numPr>
        <w:spacing w:after="120" w:line="240" w:lineRule="auto"/>
        <w:ind w:firstLineChars="0"/>
        <w:jc w:val="left"/>
      </w:pPr>
      <w:r w:rsidRPr="00C12B4D">
        <w:rPr>
          <w:highlight w:val="green"/>
        </w:rPr>
        <w:t xml:space="preserve">RAN4 agreed </w:t>
      </w:r>
      <w:r w:rsidR="00243618" w:rsidRPr="00C12B4D">
        <w:rPr>
          <w:highlight w:val="green"/>
        </w:rPr>
        <w:t>to i</w:t>
      </w:r>
      <w:r w:rsidRPr="00C12B4D">
        <w:rPr>
          <w:highlight w:val="green"/>
        </w:rPr>
        <w:t>ntroduce per-UE capability</w:t>
      </w:r>
      <w:r w:rsidR="00C12B4D">
        <w:rPr>
          <w:highlight w:val="green"/>
        </w:rPr>
        <w:t xml:space="preserve"> [</w:t>
      </w:r>
      <w:r w:rsidR="00C12B4D" w:rsidRPr="00C12B4D">
        <w:rPr>
          <w:highlight w:val="green"/>
        </w:rPr>
        <w:t xml:space="preserve">highSpeedTCISwitchEnhMAC-CE-FR2-r18] </w:t>
      </w:r>
      <w:r w:rsidRPr="00C12B4D">
        <w:rPr>
          <w:highlight w:val="green"/>
        </w:rPr>
        <w:t>to indicate whether the UE is capable of supporting the enhanced RRM requirements for Connected and Idle mode inter-frequency measurements for FR2 HST</w:t>
      </w:r>
      <w:r w:rsidRPr="00C12B4D">
        <w:rPr>
          <w:rFonts w:eastAsiaTheme="minorEastAsia"/>
          <w:highlight w:val="green"/>
          <w:lang w:eastAsia="zh-CN"/>
        </w:rPr>
        <w:t>.</w:t>
      </w:r>
    </w:p>
    <w:p w14:paraId="480D4CEC" w14:textId="4287B330" w:rsidR="00D47155" w:rsidRPr="00C12B4D" w:rsidRDefault="00D47155" w:rsidP="00D47155">
      <w:pPr>
        <w:pStyle w:val="aff6"/>
        <w:numPr>
          <w:ilvl w:val="1"/>
          <w:numId w:val="13"/>
        </w:numPr>
        <w:spacing w:after="120" w:line="240" w:lineRule="auto"/>
        <w:ind w:firstLineChars="0"/>
        <w:jc w:val="left"/>
      </w:pPr>
      <w:r w:rsidRPr="00C12B4D">
        <w:rPr>
          <w:rFonts w:eastAsia="宋体"/>
          <w:lang w:eastAsia="zh-CN"/>
        </w:rPr>
        <w:t>FFS</w:t>
      </w:r>
      <w:r w:rsidRPr="00C12B4D">
        <w:rPr>
          <w:rFonts w:eastAsia="宋体"/>
        </w:rPr>
        <w:t xml:space="preserve"> whether need to distinguish UE feature and UE capabilities for inter-frequency idle mode and connected mode.</w:t>
      </w:r>
    </w:p>
    <w:p w14:paraId="13D06A41" w14:textId="0AC33687" w:rsidR="00D47155" w:rsidRPr="00C12B4D" w:rsidRDefault="00D47155" w:rsidP="00D47155">
      <w:pPr>
        <w:pStyle w:val="aff6"/>
        <w:numPr>
          <w:ilvl w:val="1"/>
          <w:numId w:val="13"/>
        </w:numPr>
        <w:spacing w:after="120"/>
        <w:ind w:firstLineChars="0"/>
      </w:pPr>
      <w:r w:rsidRPr="00C12B4D">
        <w:t>FFS how to reflect UE capability for inter-frequency measurements and CA in the feature list.</w:t>
      </w:r>
    </w:p>
    <w:p w14:paraId="7E0F7F8D" w14:textId="3CAD312C" w:rsidR="00D47155" w:rsidRPr="00C12B4D" w:rsidRDefault="00D47155" w:rsidP="00D47155">
      <w:pPr>
        <w:pStyle w:val="aff6"/>
        <w:numPr>
          <w:ilvl w:val="0"/>
          <w:numId w:val="12"/>
        </w:numPr>
        <w:ind w:firstLineChars="0"/>
      </w:pPr>
      <w:r w:rsidRPr="00C12B4D">
        <w:t>UL timing adjustment</w:t>
      </w:r>
    </w:p>
    <w:p w14:paraId="5B4428B8" w14:textId="11C8647E" w:rsidR="00D47155" w:rsidRPr="00C3718D" w:rsidRDefault="00243618" w:rsidP="00243618">
      <w:pPr>
        <w:pStyle w:val="aff6"/>
        <w:numPr>
          <w:ilvl w:val="1"/>
          <w:numId w:val="13"/>
        </w:numPr>
        <w:spacing w:after="120" w:line="240" w:lineRule="auto"/>
        <w:ind w:firstLineChars="0"/>
        <w:jc w:val="left"/>
      </w:pPr>
      <w:r w:rsidRPr="00C3718D">
        <w:rPr>
          <w:highlight w:val="green"/>
        </w:rPr>
        <w:t>RAN4 agree to introduce new capability [highSpeedTCISwitchEnhMAC-CE-FR2-r18]</w:t>
      </w:r>
    </w:p>
    <w:p w14:paraId="63B13A75" w14:textId="0A6EB519" w:rsidR="00243618" w:rsidRPr="00C12B4D" w:rsidRDefault="00243618" w:rsidP="00243618">
      <w:pPr>
        <w:pStyle w:val="aff6"/>
        <w:numPr>
          <w:ilvl w:val="1"/>
          <w:numId w:val="13"/>
        </w:numPr>
        <w:spacing w:after="120" w:line="240" w:lineRule="auto"/>
        <w:ind w:firstLineChars="0"/>
        <w:jc w:val="left"/>
      </w:pPr>
      <w:r w:rsidRPr="00C12B4D">
        <w:t xml:space="preserve">FFS on the detailed UE feature list </w:t>
      </w:r>
    </w:p>
    <w:p w14:paraId="4B2BEE68" w14:textId="77777777" w:rsidR="001A22A5" w:rsidRDefault="001A22A5" w:rsidP="00B0170C">
      <w:pPr>
        <w:keepNext/>
        <w:keepLines/>
        <w:overflowPunct w:val="0"/>
        <w:autoSpaceDE w:val="0"/>
        <w:autoSpaceDN w:val="0"/>
        <w:adjustRightInd w:val="0"/>
        <w:jc w:val="center"/>
        <w:textAlignment w:val="baseline"/>
        <w:rPr>
          <w:rFonts w:ascii="Arial" w:eastAsia="Times New Roman" w:hAnsi="Arial" w:cs="Arial"/>
          <w:b/>
          <w:color w:val="000000"/>
          <w:sz w:val="18"/>
        </w:rPr>
        <w:sectPr w:rsidR="001A22A5">
          <w:footnotePr>
            <w:numRestart w:val="eachSect"/>
          </w:footnotePr>
          <w:pgSz w:w="11907" w:h="16840"/>
          <w:pgMar w:top="1133" w:right="1133" w:bottom="1416" w:left="1133" w:header="850" w:footer="340" w:gutter="0"/>
          <w:cols w:space="720"/>
          <w:formProt w:val="0"/>
          <w:docGrid w:linePitch="272"/>
        </w:sectPr>
      </w:pPr>
    </w:p>
    <w:p w14:paraId="737BF7D6" w14:textId="533190A7" w:rsidR="001A22A5" w:rsidRPr="001A22A5" w:rsidRDefault="001A22A5" w:rsidP="001A22A5">
      <w:pPr>
        <w:spacing w:after="120" w:line="240" w:lineRule="auto"/>
        <w:jc w:val="left"/>
      </w:pPr>
      <w:r w:rsidRPr="001A22A5">
        <w:lastRenderedPageBreak/>
        <w:t>The proposed detailed UE feature list from companion t-doc under HST WI [2] as captured below for information</w:t>
      </w:r>
      <w:r w:rsidR="001F1849">
        <w:t xml:space="preserve"> </w:t>
      </w:r>
      <w:r w:rsidR="001F1849">
        <w:rPr>
          <w:lang w:eastAsia="zh-CN"/>
        </w:rPr>
        <w:t>(</w:t>
      </w:r>
      <w:r w:rsidR="001F1849" w:rsidRPr="001F1849">
        <w:rPr>
          <w:highlight w:val="yellow"/>
          <w:lang w:eastAsia="zh-CN"/>
        </w:rPr>
        <w:t>still on discussion, no final conclusion yet</w:t>
      </w:r>
      <w:r w:rsidR="001F1849">
        <w:rPr>
          <w:lang w:eastAsia="zh-CN"/>
        </w:rPr>
        <w:t>)</w:t>
      </w:r>
      <w:r w:rsidRPr="001A22A5">
        <w:t xml:space="preserve">. </w:t>
      </w:r>
    </w:p>
    <w:p w14:paraId="5B61AA4C" w14:textId="77777777" w:rsidR="001A22A5" w:rsidRDefault="001A22A5" w:rsidP="00243618">
      <w:pPr>
        <w:spacing w:after="120" w:line="240" w:lineRule="auto"/>
        <w:jc w:val="left"/>
        <w:rPr>
          <w:sz w:val="18"/>
          <w:szCs w:val="18"/>
        </w:rPr>
      </w:pPr>
    </w:p>
    <w:tbl>
      <w:tblPr>
        <w:tblW w:w="21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672"/>
        <w:gridCol w:w="1478"/>
        <w:gridCol w:w="4840"/>
        <w:gridCol w:w="1479"/>
        <w:gridCol w:w="1074"/>
        <w:gridCol w:w="1478"/>
        <w:gridCol w:w="1343"/>
        <w:gridCol w:w="1210"/>
        <w:gridCol w:w="940"/>
        <w:gridCol w:w="941"/>
        <w:gridCol w:w="1746"/>
        <w:gridCol w:w="1747"/>
        <w:gridCol w:w="1210"/>
      </w:tblGrid>
      <w:tr w:rsidR="001F1849" w:rsidRPr="001F1849" w14:paraId="21BBEB01" w14:textId="77777777" w:rsidTr="001F1849">
        <w:trPr>
          <w:trHeight w:val="17"/>
        </w:trPr>
        <w:tc>
          <w:tcPr>
            <w:tcW w:w="1070" w:type="dxa"/>
            <w:shd w:val="clear" w:color="auto" w:fill="auto"/>
          </w:tcPr>
          <w:p w14:paraId="678A8A99" w14:textId="77777777" w:rsidR="001F1849" w:rsidRPr="001F1849"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F1849">
              <w:rPr>
                <w:rFonts w:ascii="Arial" w:eastAsia="Times New Roman" w:hAnsi="Arial" w:cs="Arial"/>
                <w:b/>
                <w:color w:val="000000"/>
                <w:sz w:val="18"/>
                <w:szCs w:val="18"/>
              </w:rPr>
              <w:t>Features</w:t>
            </w:r>
          </w:p>
        </w:tc>
        <w:tc>
          <w:tcPr>
            <w:tcW w:w="672" w:type="dxa"/>
            <w:shd w:val="clear" w:color="auto" w:fill="auto"/>
          </w:tcPr>
          <w:p w14:paraId="48F4031F" w14:textId="77777777" w:rsidR="001F1849" w:rsidRPr="001F1849"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F1849">
              <w:rPr>
                <w:rFonts w:ascii="Arial" w:eastAsia="Times New Roman" w:hAnsi="Arial" w:cs="Arial"/>
                <w:b/>
                <w:color w:val="000000"/>
                <w:sz w:val="18"/>
                <w:szCs w:val="18"/>
              </w:rPr>
              <w:t>Index</w:t>
            </w:r>
          </w:p>
        </w:tc>
        <w:tc>
          <w:tcPr>
            <w:tcW w:w="1478" w:type="dxa"/>
            <w:shd w:val="clear" w:color="auto" w:fill="auto"/>
          </w:tcPr>
          <w:p w14:paraId="5428998C" w14:textId="77777777" w:rsidR="001F1849" w:rsidRPr="001F1849"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F1849">
              <w:rPr>
                <w:rFonts w:ascii="Arial" w:eastAsia="Times New Roman" w:hAnsi="Arial" w:cs="Arial"/>
                <w:b/>
                <w:color w:val="000000"/>
                <w:sz w:val="18"/>
                <w:szCs w:val="18"/>
              </w:rPr>
              <w:t>Feature group</w:t>
            </w:r>
          </w:p>
        </w:tc>
        <w:tc>
          <w:tcPr>
            <w:tcW w:w="4840" w:type="dxa"/>
            <w:shd w:val="clear" w:color="auto" w:fill="auto"/>
          </w:tcPr>
          <w:p w14:paraId="34976F2B" w14:textId="77777777" w:rsidR="001F1849" w:rsidRPr="001F1849" w:rsidRDefault="001F1849" w:rsidP="00B0170C">
            <w:pPr>
              <w:keepNext/>
              <w:keepLines/>
              <w:overflowPunct w:val="0"/>
              <w:autoSpaceDE w:val="0"/>
              <w:autoSpaceDN w:val="0"/>
              <w:adjustRightInd w:val="0"/>
              <w:jc w:val="center"/>
              <w:textAlignment w:val="baseline"/>
              <w:rPr>
                <w:rFonts w:ascii="Arial" w:hAnsi="Arial" w:cs="Arial"/>
                <w:b/>
                <w:color w:val="000000"/>
                <w:sz w:val="18"/>
                <w:szCs w:val="18"/>
                <w:lang w:eastAsia="zh-CN"/>
              </w:rPr>
            </w:pPr>
            <w:r w:rsidRPr="001F1849">
              <w:rPr>
                <w:rFonts w:ascii="Arial" w:eastAsia="Times New Roman" w:hAnsi="Arial" w:cs="Arial"/>
                <w:b/>
                <w:color w:val="000000"/>
                <w:sz w:val="18"/>
                <w:szCs w:val="18"/>
              </w:rPr>
              <w:t>Components</w:t>
            </w:r>
          </w:p>
          <w:p w14:paraId="3090A042" w14:textId="77777777" w:rsidR="001F1849" w:rsidRPr="001F1849" w:rsidRDefault="001F1849" w:rsidP="00B0170C">
            <w:pPr>
              <w:keepNext/>
              <w:keepLines/>
              <w:overflowPunct w:val="0"/>
              <w:autoSpaceDE w:val="0"/>
              <w:autoSpaceDN w:val="0"/>
              <w:adjustRightInd w:val="0"/>
              <w:jc w:val="center"/>
              <w:textAlignment w:val="baseline"/>
              <w:rPr>
                <w:rFonts w:ascii="Arial" w:hAnsi="Arial" w:cs="Arial"/>
                <w:b/>
                <w:color w:val="000000"/>
                <w:sz w:val="18"/>
                <w:szCs w:val="18"/>
                <w:lang w:eastAsia="zh-CN"/>
              </w:rPr>
            </w:pPr>
          </w:p>
        </w:tc>
        <w:tc>
          <w:tcPr>
            <w:tcW w:w="1479" w:type="dxa"/>
            <w:shd w:val="clear" w:color="auto" w:fill="auto"/>
          </w:tcPr>
          <w:p w14:paraId="3760E370" w14:textId="77777777" w:rsidR="001F1849" w:rsidRPr="001F1849"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F1849">
              <w:rPr>
                <w:rFonts w:ascii="Arial" w:eastAsia="Times New Roman" w:hAnsi="Arial" w:cs="Arial"/>
                <w:b/>
                <w:color w:val="000000"/>
                <w:sz w:val="18"/>
                <w:szCs w:val="18"/>
              </w:rPr>
              <w:t>Prerequisite feature groups</w:t>
            </w:r>
          </w:p>
        </w:tc>
        <w:tc>
          <w:tcPr>
            <w:tcW w:w="1074" w:type="dxa"/>
            <w:shd w:val="clear" w:color="auto" w:fill="auto"/>
          </w:tcPr>
          <w:p w14:paraId="1B0202E7" w14:textId="77777777" w:rsidR="001F1849" w:rsidRPr="001F1849"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F1849">
              <w:rPr>
                <w:rFonts w:ascii="Arial" w:eastAsia="Times New Roman" w:hAnsi="Arial" w:cs="Arial"/>
                <w:b/>
                <w:color w:val="000000"/>
                <w:sz w:val="18"/>
                <w:szCs w:val="18"/>
              </w:rPr>
              <w:t>Need for the gNB to know if the feature is supported</w:t>
            </w:r>
          </w:p>
        </w:tc>
        <w:tc>
          <w:tcPr>
            <w:tcW w:w="1478" w:type="dxa"/>
            <w:shd w:val="clear" w:color="auto" w:fill="auto"/>
          </w:tcPr>
          <w:p w14:paraId="373608C6" w14:textId="77777777" w:rsidR="001F1849" w:rsidRPr="001F1849"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F1849">
              <w:rPr>
                <w:rFonts w:ascii="Arial" w:eastAsia="Gulim" w:hAnsi="Arial" w:cs="Arial"/>
                <w:b/>
                <w:color w:val="000000"/>
                <w:sz w:val="18"/>
                <w:szCs w:val="18"/>
              </w:rPr>
              <w:t xml:space="preserve">Applicable to </w:t>
            </w:r>
            <w:r w:rsidRPr="001F1849">
              <w:rPr>
                <w:rFonts w:ascii="Arial" w:eastAsia="Times New Roman" w:hAnsi="Arial" w:cs="Arial"/>
                <w:b/>
                <w:color w:val="000000"/>
                <w:sz w:val="18"/>
                <w:szCs w:val="18"/>
              </w:rPr>
              <w:t>the capability signalling exchange between UEs (V2X WI only)”.</w:t>
            </w:r>
          </w:p>
        </w:tc>
        <w:tc>
          <w:tcPr>
            <w:tcW w:w="1343" w:type="dxa"/>
          </w:tcPr>
          <w:p w14:paraId="2EFB57E4" w14:textId="77777777" w:rsidR="001F1849" w:rsidRPr="001F1849" w:rsidRDefault="001F1849" w:rsidP="00B0170C">
            <w:pPr>
              <w:keepNext/>
              <w:keepLines/>
              <w:rPr>
                <w:rFonts w:ascii="Arial" w:hAnsi="Arial" w:cs="Arial"/>
                <w:b/>
                <w:color w:val="000000"/>
                <w:sz w:val="18"/>
                <w:szCs w:val="18"/>
              </w:rPr>
            </w:pPr>
            <w:r w:rsidRPr="001F1849">
              <w:rPr>
                <w:rFonts w:ascii="Arial" w:hAnsi="Arial" w:cs="Arial"/>
                <w:b/>
                <w:color w:val="000000"/>
                <w:sz w:val="18"/>
                <w:szCs w:val="18"/>
              </w:rPr>
              <w:t>Consequence if the feature is not supported by the UE</w:t>
            </w:r>
          </w:p>
        </w:tc>
        <w:tc>
          <w:tcPr>
            <w:tcW w:w="1210" w:type="dxa"/>
            <w:shd w:val="clear" w:color="auto" w:fill="auto"/>
          </w:tcPr>
          <w:p w14:paraId="7B679600" w14:textId="77777777" w:rsidR="001F1849" w:rsidRPr="001F1849" w:rsidRDefault="001F1849" w:rsidP="00B0170C">
            <w:pPr>
              <w:keepNext/>
              <w:keepLines/>
              <w:rPr>
                <w:rFonts w:ascii="Arial" w:hAnsi="Arial" w:cs="Arial"/>
                <w:b/>
                <w:color w:val="000000"/>
                <w:sz w:val="18"/>
                <w:szCs w:val="18"/>
              </w:rPr>
            </w:pPr>
            <w:r w:rsidRPr="001F1849">
              <w:rPr>
                <w:rFonts w:ascii="Arial" w:hAnsi="Arial" w:cs="Arial"/>
                <w:b/>
                <w:color w:val="000000"/>
                <w:sz w:val="18"/>
                <w:szCs w:val="18"/>
              </w:rPr>
              <w:t>Type</w:t>
            </w:r>
          </w:p>
          <w:p w14:paraId="4FF2657A" w14:textId="77777777" w:rsidR="001F1849" w:rsidRPr="001F1849" w:rsidRDefault="001F1849" w:rsidP="00B0170C">
            <w:pPr>
              <w:keepNext/>
              <w:keepLines/>
              <w:rPr>
                <w:rFonts w:ascii="Arial" w:hAnsi="Arial" w:cs="Arial"/>
                <w:b/>
                <w:color w:val="000000"/>
                <w:sz w:val="18"/>
                <w:szCs w:val="18"/>
              </w:rPr>
            </w:pPr>
            <w:r w:rsidRPr="001F1849">
              <w:rPr>
                <w:rFonts w:ascii="Arial" w:hAnsi="Arial" w:cs="Arial"/>
                <w:b/>
                <w:color w:val="000000"/>
                <w:sz w:val="18"/>
                <w:szCs w:val="18"/>
              </w:rPr>
              <w:t>(the ‘type’ definition from UE features should be based on the granularity of 1) Per UE or 2) Per Band or 3) Per BC or 4) Per FS or 5) Per FSPC)</w:t>
            </w:r>
          </w:p>
        </w:tc>
        <w:tc>
          <w:tcPr>
            <w:tcW w:w="940" w:type="dxa"/>
            <w:shd w:val="clear" w:color="auto" w:fill="auto"/>
          </w:tcPr>
          <w:p w14:paraId="212BCD51" w14:textId="77777777" w:rsidR="001F1849" w:rsidRPr="001F1849"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F1849">
              <w:rPr>
                <w:rFonts w:ascii="Arial" w:eastAsia="Times New Roman" w:hAnsi="Arial" w:cs="Arial"/>
                <w:b/>
                <w:color w:val="000000"/>
                <w:sz w:val="18"/>
                <w:szCs w:val="18"/>
              </w:rPr>
              <w:t>Need of FDD/TDD differentiation</w:t>
            </w:r>
          </w:p>
        </w:tc>
        <w:tc>
          <w:tcPr>
            <w:tcW w:w="941" w:type="dxa"/>
            <w:shd w:val="clear" w:color="auto" w:fill="auto"/>
          </w:tcPr>
          <w:p w14:paraId="287067A8" w14:textId="77777777" w:rsidR="001F1849" w:rsidRPr="001F1849"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F1849">
              <w:rPr>
                <w:rFonts w:ascii="Arial" w:eastAsia="Times New Roman" w:hAnsi="Arial" w:cs="Arial"/>
                <w:b/>
                <w:color w:val="000000"/>
                <w:sz w:val="18"/>
                <w:szCs w:val="18"/>
              </w:rPr>
              <w:t>Need of FR1/FR2 differentiation</w:t>
            </w:r>
          </w:p>
        </w:tc>
        <w:tc>
          <w:tcPr>
            <w:tcW w:w="1746" w:type="dxa"/>
          </w:tcPr>
          <w:p w14:paraId="7B455997" w14:textId="77777777" w:rsidR="001F1849" w:rsidRPr="001F1849"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F1849">
              <w:rPr>
                <w:rFonts w:ascii="Arial" w:eastAsia="Times New Roman" w:hAnsi="Arial" w:cs="Arial"/>
                <w:b/>
                <w:color w:val="000000"/>
                <w:sz w:val="18"/>
                <w:szCs w:val="18"/>
              </w:rPr>
              <w:t>Capability interpretation for mixture of FDD/TDD and/or FR1/FR2</w:t>
            </w:r>
          </w:p>
        </w:tc>
        <w:tc>
          <w:tcPr>
            <w:tcW w:w="1747" w:type="dxa"/>
            <w:shd w:val="clear" w:color="auto" w:fill="auto"/>
          </w:tcPr>
          <w:p w14:paraId="2E8AF396" w14:textId="77777777" w:rsidR="001F1849" w:rsidRPr="001F1849"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F1849">
              <w:rPr>
                <w:rFonts w:ascii="Arial" w:eastAsia="Times New Roman" w:hAnsi="Arial" w:cs="Arial"/>
                <w:b/>
                <w:color w:val="000000"/>
                <w:sz w:val="18"/>
                <w:szCs w:val="18"/>
              </w:rPr>
              <w:t>Note</w:t>
            </w:r>
          </w:p>
        </w:tc>
        <w:tc>
          <w:tcPr>
            <w:tcW w:w="1210" w:type="dxa"/>
            <w:shd w:val="clear" w:color="auto" w:fill="auto"/>
          </w:tcPr>
          <w:p w14:paraId="23AF938A" w14:textId="77777777" w:rsidR="001F1849" w:rsidRPr="001F1849"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1F1849">
              <w:rPr>
                <w:rFonts w:ascii="Arial" w:eastAsia="Times New Roman" w:hAnsi="Arial" w:cs="Arial"/>
                <w:b/>
                <w:color w:val="000000"/>
                <w:sz w:val="18"/>
                <w:szCs w:val="18"/>
              </w:rPr>
              <w:t>Mandatory/Optional</w:t>
            </w:r>
          </w:p>
        </w:tc>
      </w:tr>
      <w:tr w:rsidR="004D3C65" w:rsidRPr="001F1849" w14:paraId="6DD03648" w14:textId="77777777" w:rsidTr="001F1849">
        <w:trPr>
          <w:trHeight w:val="17"/>
        </w:trPr>
        <w:tc>
          <w:tcPr>
            <w:tcW w:w="1070" w:type="dxa"/>
            <w:shd w:val="clear" w:color="auto" w:fill="auto"/>
          </w:tcPr>
          <w:p w14:paraId="41333EFC" w14:textId="3C612161" w:rsidR="004D3C65" w:rsidRPr="004D3C65" w:rsidRDefault="004D3C65" w:rsidP="004D3C65">
            <w:pPr>
              <w:rPr>
                <w:rFonts w:ascii="Arial" w:hAnsi="Arial" w:cs="Arial"/>
                <w:color w:val="000000"/>
                <w:sz w:val="18"/>
                <w:szCs w:val="18"/>
                <w:lang w:val="en-US" w:eastAsia="zh-CN"/>
              </w:rPr>
            </w:pPr>
            <w:r w:rsidRPr="004D3C65">
              <w:rPr>
                <w:rFonts w:ascii="Arial" w:eastAsiaTheme="minorEastAsia" w:hAnsi="Arial" w:cs="Arial"/>
                <w:color w:val="000000"/>
                <w:sz w:val="18"/>
                <w:szCs w:val="18"/>
              </w:rPr>
              <w:t>34</w:t>
            </w:r>
            <w:r w:rsidRPr="004D3C65">
              <w:rPr>
                <w:rFonts w:ascii="Arial" w:eastAsiaTheme="minorEastAsia" w:hAnsi="Arial" w:cs="Arial" w:hint="eastAsia"/>
                <w:color w:val="000000"/>
                <w:sz w:val="18"/>
                <w:szCs w:val="18"/>
              </w:rPr>
              <w:t xml:space="preserve">. </w:t>
            </w:r>
            <w:r w:rsidRPr="004D3C65">
              <w:rPr>
                <w:rFonts w:ascii="Arial" w:hAnsi="Arial" w:cs="Arial"/>
                <w:color w:val="000000"/>
                <w:sz w:val="18"/>
                <w:szCs w:val="18"/>
              </w:rPr>
              <w:t>NR_HST_FR2_enh</w:t>
            </w:r>
          </w:p>
        </w:tc>
        <w:tc>
          <w:tcPr>
            <w:tcW w:w="672" w:type="dxa"/>
            <w:shd w:val="clear" w:color="auto" w:fill="auto"/>
          </w:tcPr>
          <w:p w14:paraId="6604172C" w14:textId="40DED63D" w:rsidR="004D3C65" w:rsidRPr="004D3C65" w:rsidRDefault="004D3C65" w:rsidP="004D3C65">
            <w:pPr>
              <w:keepNext/>
              <w:keepLines/>
              <w:overflowPunct w:val="0"/>
              <w:autoSpaceDE w:val="0"/>
              <w:autoSpaceDN w:val="0"/>
              <w:adjustRightInd w:val="0"/>
              <w:textAlignment w:val="baseline"/>
              <w:rPr>
                <w:rFonts w:ascii="Arial" w:eastAsiaTheme="minorEastAsia" w:hAnsi="Arial" w:cs="Arial"/>
                <w:bCs/>
                <w:color w:val="000000"/>
                <w:sz w:val="18"/>
                <w:szCs w:val="18"/>
                <w:highlight w:val="yellow"/>
                <w:lang w:eastAsia="zh-CN"/>
              </w:rPr>
            </w:pPr>
            <w:r w:rsidRPr="004D3C65">
              <w:rPr>
                <w:rFonts w:ascii="Arial" w:eastAsiaTheme="minorEastAsia" w:hAnsi="Arial" w:cs="Arial"/>
                <w:color w:val="000000"/>
                <w:sz w:val="18"/>
                <w:szCs w:val="18"/>
                <w:highlight w:val="yellow"/>
              </w:rPr>
              <w:t>34</w:t>
            </w:r>
            <w:r w:rsidRPr="004D3C65">
              <w:rPr>
                <w:rFonts w:ascii="Arial" w:hAnsi="Arial" w:cs="Arial"/>
                <w:color w:val="000000"/>
                <w:sz w:val="18"/>
                <w:szCs w:val="18"/>
                <w:highlight w:val="yellow"/>
              </w:rPr>
              <w:t>-1</w:t>
            </w:r>
          </w:p>
        </w:tc>
        <w:tc>
          <w:tcPr>
            <w:tcW w:w="1478" w:type="dxa"/>
            <w:shd w:val="clear" w:color="auto" w:fill="auto"/>
          </w:tcPr>
          <w:p w14:paraId="45F9D3B7" w14:textId="54F6C38C" w:rsidR="004D3C65" w:rsidRPr="004D3C65" w:rsidRDefault="004D3C65"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highlight w:val="yellow"/>
              </w:rPr>
            </w:pPr>
            <w:r w:rsidRPr="004D3C65">
              <w:rPr>
                <w:rFonts w:ascii="Arial" w:hAnsi="Arial" w:cs="Arial"/>
                <w:color w:val="000000"/>
                <w:sz w:val="18"/>
                <w:szCs w:val="18"/>
                <w:highlight w:val="yellow"/>
              </w:rPr>
              <w:t>Support of NR FR2 HST with simultaneous DL reception with two different QCL TypeD RSs</w:t>
            </w:r>
          </w:p>
        </w:tc>
        <w:tc>
          <w:tcPr>
            <w:tcW w:w="4840" w:type="dxa"/>
            <w:shd w:val="clear" w:color="auto" w:fill="auto"/>
          </w:tcPr>
          <w:p w14:paraId="5E49308F" w14:textId="77777777" w:rsidR="004D3C65" w:rsidRPr="004D3C65" w:rsidRDefault="004D3C65" w:rsidP="004D3C65">
            <w:pPr>
              <w:autoSpaceDE w:val="0"/>
              <w:autoSpaceDN w:val="0"/>
              <w:adjustRightInd w:val="0"/>
              <w:snapToGrid w:val="0"/>
              <w:spacing w:afterLines="50" w:after="120"/>
              <w:rPr>
                <w:rFonts w:ascii="Arial" w:hAnsi="Arial" w:cs="Arial"/>
                <w:color w:val="000000"/>
                <w:sz w:val="18"/>
                <w:szCs w:val="18"/>
                <w:highlight w:val="yellow"/>
              </w:rPr>
            </w:pPr>
            <w:r w:rsidRPr="004D3C65">
              <w:rPr>
                <w:rFonts w:ascii="Arial" w:hAnsi="Arial" w:cs="Arial" w:hint="eastAsia"/>
                <w:color w:val="000000"/>
                <w:sz w:val="18"/>
                <w:szCs w:val="18"/>
                <w:highlight w:val="yellow"/>
              </w:rPr>
              <w:t>1</w:t>
            </w:r>
            <w:r w:rsidRPr="004D3C65">
              <w:rPr>
                <w:rFonts w:ascii="Arial" w:hAnsi="Arial" w:cs="Arial"/>
                <w:color w:val="000000"/>
                <w:sz w:val="18"/>
                <w:szCs w:val="18"/>
                <w:highlight w:val="yellow"/>
              </w:rPr>
              <w:t>) Support of enhanced  RF requirement to support FR2-1 PC6 UEs with simultaneous DL reception with two different QCL TypeD RSs</w:t>
            </w:r>
          </w:p>
          <w:p w14:paraId="38D8BB3C" w14:textId="77777777" w:rsidR="004D3C65" w:rsidRPr="004D3C65" w:rsidRDefault="004D3C65" w:rsidP="004D3C65">
            <w:pPr>
              <w:autoSpaceDE w:val="0"/>
              <w:autoSpaceDN w:val="0"/>
              <w:adjustRightInd w:val="0"/>
              <w:snapToGrid w:val="0"/>
              <w:spacing w:afterLines="50" w:after="120"/>
              <w:rPr>
                <w:rFonts w:ascii="Arial" w:hAnsi="Arial" w:cs="Arial"/>
                <w:color w:val="000000"/>
                <w:sz w:val="18"/>
                <w:szCs w:val="18"/>
                <w:highlight w:val="yellow"/>
              </w:rPr>
            </w:pPr>
            <w:r w:rsidRPr="004D3C65">
              <w:rPr>
                <w:rFonts w:ascii="Arial" w:hAnsi="Arial" w:cs="Arial"/>
                <w:color w:val="000000"/>
                <w:sz w:val="18"/>
                <w:szCs w:val="18"/>
                <w:highlight w:val="yellow"/>
              </w:rPr>
              <w:t>2) Support of enhanced RRM measurement requirements, including the enhanced requirement of SSB-based Layer-1 measurement and the support of MRTD requirement for FR2-1 PC6 UEs with simultaneous DL reception with two different QCL TypeD RSs specified in TS38.133</w:t>
            </w:r>
          </w:p>
          <w:p w14:paraId="1C3C006E" w14:textId="6D93CC1A" w:rsidR="004D3C65" w:rsidRPr="004D3C65" w:rsidRDefault="004D3C65" w:rsidP="004D3C65">
            <w:pPr>
              <w:keepNext/>
              <w:keepLines/>
              <w:overflowPunct w:val="0"/>
              <w:autoSpaceDE w:val="0"/>
              <w:autoSpaceDN w:val="0"/>
              <w:adjustRightInd w:val="0"/>
              <w:textAlignment w:val="baseline"/>
              <w:rPr>
                <w:rFonts w:ascii="Arial" w:eastAsia="Times New Roman" w:hAnsi="Arial" w:cs="Arial"/>
                <w:b/>
                <w:color w:val="000000"/>
                <w:sz w:val="18"/>
                <w:szCs w:val="18"/>
                <w:highlight w:val="yellow"/>
              </w:rPr>
            </w:pPr>
            <w:r w:rsidRPr="004D3C65">
              <w:rPr>
                <w:rFonts w:ascii="Arial" w:hAnsi="Arial" w:cs="Arial"/>
                <w:color w:val="000000"/>
                <w:sz w:val="18"/>
                <w:szCs w:val="18"/>
                <w:highlight w:val="yellow"/>
              </w:rPr>
              <w:t>3) Support of enhanced  demodulation processing to support FR2-1 PC6 UEs with simultaneous DL reception with two different QCL TypeD RSs</w:t>
            </w:r>
          </w:p>
        </w:tc>
        <w:tc>
          <w:tcPr>
            <w:tcW w:w="1479" w:type="dxa"/>
            <w:shd w:val="clear" w:color="auto" w:fill="auto"/>
          </w:tcPr>
          <w:p w14:paraId="4D330BF2" w14:textId="77777777" w:rsidR="004D3C65" w:rsidRPr="004D3C65" w:rsidRDefault="004D3C65" w:rsidP="004D3C65">
            <w:pPr>
              <w:keepNext/>
              <w:keepLines/>
              <w:snapToGrid w:val="0"/>
              <w:rPr>
                <w:rFonts w:ascii="Arial" w:hAnsi="Arial" w:cs="Arial"/>
                <w:color w:val="000000"/>
                <w:sz w:val="18"/>
                <w:szCs w:val="18"/>
                <w:highlight w:val="yellow"/>
              </w:rPr>
            </w:pPr>
            <w:r w:rsidRPr="004D3C65">
              <w:rPr>
                <w:rFonts w:ascii="Arial" w:hAnsi="Arial" w:cs="Arial"/>
                <w:color w:val="000000"/>
                <w:sz w:val="18"/>
                <w:szCs w:val="18"/>
                <w:highlight w:val="yellow"/>
              </w:rPr>
              <w:t>1) 22-1</w:t>
            </w:r>
          </w:p>
          <w:p w14:paraId="44E9337C" w14:textId="3A5E3375" w:rsidR="004D3C65" w:rsidRPr="004D3C65" w:rsidRDefault="004D3C65" w:rsidP="004D3C65">
            <w:pPr>
              <w:keepNext/>
              <w:keepLines/>
              <w:overflowPunct w:val="0"/>
              <w:autoSpaceDE w:val="0"/>
              <w:autoSpaceDN w:val="0"/>
              <w:adjustRightInd w:val="0"/>
              <w:textAlignment w:val="baseline"/>
              <w:rPr>
                <w:rFonts w:ascii="Arial" w:eastAsia="Times New Roman" w:hAnsi="Arial" w:cs="Arial"/>
                <w:b/>
                <w:color w:val="000000"/>
                <w:sz w:val="18"/>
                <w:szCs w:val="18"/>
                <w:highlight w:val="yellow"/>
              </w:rPr>
            </w:pPr>
            <w:r w:rsidRPr="004D3C65">
              <w:rPr>
                <w:rFonts w:ascii="Arial" w:hAnsi="Arial" w:cs="Arial"/>
                <w:color w:val="000000"/>
                <w:sz w:val="18"/>
                <w:szCs w:val="18"/>
                <w:highlight w:val="yellow"/>
              </w:rPr>
              <w:t>2) 16-2c</w:t>
            </w:r>
          </w:p>
        </w:tc>
        <w:tc>
          <w:tcPr>
            <w:tcW w:w="1074" w:type="dxa"/>
            <w:shd w:val="clear" w:color="auto" w:fill="auto"/>
          </w:tcPr>
          <w:p w14:paraId="4168E660" w14:textId="6349F247" w:rsidR="004D3C65" w:rsidRPr="004D3C65" w:rsidRDefault="004D3C65"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highlight w:val="yellow"/>
              </w:rPr>
            </w:pPr>
            <w:r w:rsidRPr="004D3C65">
              <w:rPr>
                <w:rFonts w:ascii="Arial" w:hAnsi="Arial" w:cs="Arial" w:hint="eastAsia"/>
                <w:color w:val="000000"/>
                <w:sz w:val="18"/>
                <w:szCs w:val="18"/>
                <w:highlight w:val="yellow"/>
              </w:rPr>
              <w:t>Y</w:t>
            </w:r>
            <w:r w:rsidRPr="004D3C65">
              <w:rPr>
                <w:rFonts w:ascii="Arial" w:hAnsi="Arial" w:cs="Arial"/>
                <w:color w:val="000000"/>
                <w:sz w:val="18"/>
                <w:szCs w:val="18"/>
                <w:highlight w:val="yellow"/>
              </w:rPr>
              <w:t>es</w:t>
            </w:r>
          </w:p>
        </w:tc>
        <w:tc>
          <w:tcPr>
            <w:tcW w:w="1478" w:type="dxa"/>
            <w:shd w:val="clear" w:color="auto" w:fill="auto"/>
          </w:tcPr>
          <w:p w14:paraId="705AD1E8" w14:textId="0DBA5813" w:rsidR="004D3C65" w:rsidRPr="004D3C65" w:rsidRDefault="004D3C65" w:rsidP="004D3C65">
            <w:pPr>
              <w:keepNext/>
              <w:keepLines/>
              <w:overflowPunct w:val="0"/>
              <w:autoSpaceDE w:val="0"/>
              <w:autoSpaceDN w:val="0"/>
              <w:adjustRightInd w:val="0"/>
              <w:jc w:val="center"/>
              <w:textAlignment w:val="baseline"/>
              <w:rPr>
                <w:rFonts w:ascii="Arial" w:eastAsia="Gulim" w:hAnsi="Arial" w:cs="Arial"/>
                <w:b/>
                <w:color w:val="000000"/>
                <w:sz w:val="18"/>
                <w:szCs w:val="18"/>
                <w:highlight w:val="yellow"/>
              </w:rPr>
            </w:pPr>
            <w:r w:rsidRPr="004D3C65">
              <w:rPr>
                <w:rFonts w:ascii="Arial" w:hAnsi="Arial" w:cs="Arial"/>
                <w:color w:val="000000"/>
                <w:sz w:val="18"/>
                <w:szCs w:val="18"/>
                <w:highlight w:val="yellow"/>
              </w:rPr>
              <w:t>No</w:t>
            </w:r>
          </w:p>
        </w:tc>
        <w:tc>
          <w:tcPr>
            <w:tcW w:w="1343" w:type="dxa"/>
          </w:tcPr>
          <w:p w14:paraId="673393BC" w14:textId="403515E5" w:rsidR="004D3C65" w:rsidRPr="004D3C65" w:rsidRDefault="004D3C65" w:rsidP="004D3C65">
            <w:pPr>
              <w:keepNext/>
              <w:keepLines/>
              <w:jc w:val="left"/>
              <w:rPr>
                <w:rFonts w:ascii="Arial" w:hAnsi="Arial" w:cs="Arial"/>
                <w:b/>
                <w:color w:val="000000"/>
                <w:sz w:val="18"/>
                <w:szCs w:val="18"/>
                <w:highlight w:val="yellow"/>
              </w:rPr>
            </w:pPr>
            <w:r w:rsidRPr="004D3C65">
              <w:rPr>
                <w:rFonts w:ascii="Arial" w:hAnsi="Arial" w:cs="Arial"/>
                <w:color w:val="000000"/>
                <w:sz w:val="18"/>
                <w:szCs w:val="18"/>
                <w:highlight w:val="yellow"/>
              </w:rPr>
              <w:t>UE does not meet FR2 high speed train scenario with simultaneous DL reception with two different QCL TypeD RSs</w:t>
            </w:r>
          </w:p>
        </w:tc>
        <w:tc>
          <w:tcPr>
            <w:tcW w:w="1210" w:type="dxa"/>
            <w:shd w:val="clear" w:color="auto" w:fill="auto"/>
          </w:tcPr>
          <w:p w14:paraId="40B78736" w14:textId="3F8AAE8C" w:rsidR="004D3C65" w:rsidRPr="004D3C65" w:rsidRDefault="004D3C65" w:rsidP="004D3C65">
            <w:pPr>
              <w:keepNext/>
              <w:keepLines/>
              <w:rPr>
                <w:rFonts w:ascii="Arial" w:hAnsi="Arial" w:cs="Arial"/>
                <w:b/>
                <w:color w:val="000000"/>
                <w:sz w:val="18"/>
                <w:szCs w:val="18"/>
                <w:highlight w:val="yellow"/>
              </w:rPr>
            </w:pPr>
            <w:r w:rsidRPr="004D3C65">
              <w:rPr>
                <w:rFonts w:ascii="Arial" w:hAnsi="Arial" w:cs="Arial"/>
                <w:color w:val="000000"/>
                <w:sz w:val="18"/>
                <w:szCs w:val="18"/>
                <w:highlight w:val="yellow"/>
              </w:rPr>
              <w:t>Per Band</w:t>
            </w:r>
          </w:p>
        </w:tc>
        <w:tc>
          <w:tcPr>
            <w:tcW w:w="940" w:type="dxa"/>
            <w:shd w:val="clear" w:color="auto" w:fill="auto"/>
          </w:tcPr>
          <w:p w14:paraId="5BCAFC61" w14:textId="11E6A1DC" w:rsidR="004D3C65" w:rsidRPr="004D3C65" w:rsidRDefault="004D3C65"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highlight w:val="yellow"/>
              </w:rPr>
            </w:pPr>
            <w:r w:rsidRPr="004D3C65">
              <w:rPr>
                <w:rFonts w:ascii="Arial" w:hAnsi="Arial" w:cs="Arial"/>
                <w:color w:val="000000"/>
                <w:sz w:val="18"/>
                <w:szCs w:val="18"/>
                <w:highlight w:val="yellow"/>
              </w:rPr>
              <w:t>NO</w:t>
            </w:r>
          </w:p>
        </w:tc>
        <w:tc>
          <w:tcPr>
            <w:tcW w:w="941" w:type="dxa"/>
            <w:shd w:val="clear" w:color="auto" w:fill="auto"/>
          </w:tcPr>
          <w:p w14:paraId="1541064F" w14:textId="372B7E84" w:rsidR="004D3C65" w:rsidRPr="004D3C65" w:rsidRDefault="004D3C65"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highlight w:val="yellow"/>
              </w:rPr>
            </w:pPr>
            <w:r w:rsidRPr="004D3C65">
              <w:rPr>
                <w:rFonts w:ascii="Arial" w:hAnsi="Arial" w:cs="Arial"/>
                <w:color w:val="000000"/>
                <w:sz w:val="18"/>
                <w:szCs w:val="18"/>
                <w:highlight w:val="yellow"/>
              </w:rPr>
              <w:t>FR2 only</w:t>
            </w:r>
          </w:p>
        </w:tc>
        <w:tc>
          <w:tcPr>
            <w:tcW w:w="1746" w:type="dxa"/>
          </w:tcPr>
          <w:p w14:paraId="7A9BBBD8" w14:textId="3C936E5E" w:rsidR="004D3C65" w:rsidRPr="004D3C65" w:rsidRDefault="004D3C65"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highlight w:val="yellow"/>
              </w:rPr>
            </w:pPr>
            <w:r w:rsidRPr="004D3C65">
              <w:rPr>
                <w:rFonts w:ascii="Arial" w:hAnsi="Arial" w:cs="Arial" w:hint="eastAsia"/>
                <w:color w:val="000000"/>
                <w:sz w:val="18"/>
                <w:szCs w:val="18"/>
                <w:highlight w:val="yellow"/>
              </w:rPr>
              <w:t>N</w:t>
            </w:r>
            <w:r w:rsidRPr="004D3C65">
              <w:rPr>
                <w:rFonts w:ascii="Arial" w:hAnsi="Arial" w:cs="Arial"/>
                <w:color w:val="000000"/>
                <w:sz w:val="18"/>
                <w:szCs w:val="18"/>
                <w:highlight w:val="yellow"/>
              </w:rPr>
              <w:t>/A</w:t>
            </w:r>
          </w:p>
        </w:tc>
        <w:tc>
          <w:tcPr>
            <w:tcW w:w="1747" w:type="dxa"/>
            <w:shd w:val="clear" w:color="auto" w:fill="auto"/>
          </w:tcPr>
          <w:p w14:paraId="438241AF" w14:textId="6D05713C" w:rsidR="004D3C65" w:rsidRPr="004D3C65" w:rsidRDefault="004D3C65"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highlight w:val="yellow"/>
              </w:rPr>
            </w:pPr>
            <w:r w:rsidRPr="004D3C65">
              <w:rPr>
                <w:rFonts w:ascii="Arial" w:hAnsi="Arial" w:cs="Arial"/>
                <w:color w:val="000000"/>
                <w:sz w:val="18"/>
                <w:szCs w:val="18"/>
                <w:highlight w:val="yellow"/>
              </w:rPr>
              <w:t>Applicable to HST bi-directional deployment in Scenario-A and Scenario-B</w:t>
            </w:r>
          </w:p>
        </w:tc>
        <w:tc>
          <w:tcPr>
            <w:tcW w:w="1210" w:type="dxa"/>
            <w:shd w:val="clear" w:color="auto" w:fill="auto"/>
          </w:tcPr>
          <w:p w14:paraId="771EA5EC" w14:textId="1B8B4FD1" w:rsidR="004D3C65" w:rsidRPr="004D3C65" w:rsidRDefault="004D3C65"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highlight w:val="yellow"/>
              </w:rPr>
            </w:pPr>
            <w:r w:rsidRPr="004D3C65">
              <w:rPr>
                <w:rFonts w:ascii="Arial" w:hAnsi="Arial" w:cs="Arial"/>
                <w:color w:val="000000"/>
                <w:sz w:val="18"/>
                <w:szCs w:val="18"/>
                <w:highlight w:val="yellow"/>
              </w:rPr>
              <w:t>Optional with capability signalling</w:t>
            </w:r>
          </w:p>
        </w:tc>
      </w:tr>
      <w:tr w:rsidR="004D3C65" w:rsidRPr="001F1849" w14:paraId="771BA257" w14:textId="77777777" w:rsidTr="001F1849">
        <w:trPr>
          <w:trHeight w:val="17"/>
        </w:trPr>
        <w:tc>
          <w:tcPr>
            <w:tcW w:w="1070" w:type="dxa"/>
            <w:shd w:val="clear" w:color="auto" w:fill="auto"/>
          </w:tcPr>
          <w:p w14:paraId="66CCF19F" w14:textId="77777777" w:rsidR="004D3C65" w:rsidRPr="004D3C65" w:rsidRDefault="004D3C65" w:rsidP="004D3C65">
            <w:pPr>
              <w:rPr>
                <w:rFonts w:ascii="Arial" w:hAnsi="Arial" w:cs="Arial"/>
                <w:color w:val="000000"/>
                <w:sz w:val="18"/>
                <w:szCs w:val="18"/>
                <w:lang w:val="en-US" w:eastAsia="zh-CN"/>
              </w:rPr>
            </w:pPr>
          </w:p>
        </w:tc>
        <w:tc>
          <w:tcPr>
            <w:tcW w:w="672" w:type="dxa"/>
            <w:shd w:val="clear" w:color="auto" w:fill="auto"/>
          </w:tcPr>
          <w:p w14:paraId="5F5E5AAB" w14:textId="75E5BC4B" w:rsidR="004D3C65" w:rsidRPr="004D3C65" w:rsidRDefault="004D3C65" w:rsidP="004D3C65">
            <w:pPr>
              <w:keepNext/>
              <w:keepLines/>
              <w:overflowPunct w:val="0"/>
              <w:autoSpaceDE w:val="0"/>
              <w:autoSpaceDN w:val="0"/>
              <w:adjustRightInd w:val="0"/>
              <w:textAlignment w:val="baseline"/>
              <w:rPr>
                <w:rFonts w:ascii="Arial" w:eastAsiaTheme="minorEastAsia" w:hAnsi="Arial" w:cs="Arial"/>
                <w:bCs/>
                <w:color w:val="000000"/>
                <w:sz w:val="18"/>
                <w:szCs w:val="18"/>
                <w:highlight w:val="yellow"/>
                <w:lang w:eastAsia="zh-CN"/>
              </w:rPr>
            </w:pPr>
            <w:r w:rsidRPr="004D3C65">
              <w:rPr>
                <w:rFonts w:ascii="Arial" w:eastAsiaTheme="minorEastAsia" w:hAnsi="Arial" w:cs="Arial"/>
                <w:color w:val="000000"/>
                <w:sz w:val="18"/>
                <w:szCs w:val="18"/>
                <w:highlight w:val="yellow"/>
              </w:rPr>
              <w:t>34</w:t>
            </w:r>
            <w:r w:rsidRPr="004D3C65">
              <w:rPr>
                <w:rFonts w:ascii="Arial" w:hAnsi="Arial" w:cs="Arial"/>
                <w:color w:val="000000"/>
                <w:sz w:val="18"/>
                <w:szCs w:val="18"/>
                <w:highlight w:val="yellow"/>
              </w:rPr>
              <w:t>-2</w:t>
            </w:r>
          </w:p>
        </w:tc>
        <w:tc>
          <w:tcPr>
            <w:tcW w:w="1478" w:type="dxa"/>
            <w:shd w:val="clear" w:color="auto" w:fill="auto"/>
          </w:tcPr>
          <w:p w14:paraId="41C94044" w14:textId="7D774EE6"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color w:val="000000"/>
                <w:sz w:val="18"/>
                <w:szCs w:val="18"/>
                <w:highlight w:val="yellow"/>
              </w:rPr>
              <w:t xml:space="preserve">Enhanced RRM requirements specified for CA and inter-frequency measurement in connected mode and for FR2 HST   </w:t>
            </w:r>
          </w:p>
        </w:tc>
        <w:tc>
          <w:tcPr>
            <w:tcW w:w="4840" w:type="dxa"/>
            <w:shd w:val="clear" w:color="auto" w:fill="auto"/>
          </w:tcPr>
          <w:p w14:paraId="5142F290" w14:textId="77777777" w:rsidR="004D3C65" w:rsidRPr="004D3C65" w:rsidRDefault="004D3C65" w:rsidP="004D3C65">
            <w:pPr>
              <w:autoSpaceDE w:val="0"/>
              <w:autoSpaceDN w:val="0"/>
              <w:adjustRightInd w:val="0"/>
              <w:snapToGrid w:val="0"/>
              <w:spacing w:afterLines="50" w:after="120"/>
              <w:contextualSpacing/>
              <w:rPr>
                <w:rFonts w:ascii="Arial" w:hAnsi="Arial" w:cs="Arial"/>
                <w:color w:val="000000"/>
                <w:sz w:val="18"/>
                <w:szCs w:val="18"/>
                <w:highlight w:val="yellow"/>
              </w:rPr>
            </w:pPr>
            <w:r w:rsidRPr="004D3C65">
              <w:rPr>
                <w:rFonts w:ascii="Arial" w:hAnsi="Arial" w:cs="Arial"/>
                <w:color w:val="000000"/>
                <w:sz w:val="18"/>
                <w:szCs w:val="18"/>
                <w:highlight w:val="yellow"/>
              </w:rPr>
              <w:t>1) Support of the enhanced RRM for requirement intra-frequency CA in connected mode to support FR2 high speed up to 350 km/h, as specified in TS 38.133</w:t>
            </w:r>
          </w:p>
          <w:p w14:paraId="60B34AFD" w14:textId="106068DD" w:rsidR="004D3C65" w:rsidRPr="004D3C65" w:rsidRDefault="004D3C65" w:rsidP="004D3C65">
            <w:pPr>
              <w:autoSpaceDE w:val="0"/>
              <w:autoSpaceDN w:val="0"/>
              <w:adjustRightInd w:val="0"/>
              <w:snapToGrid w:val="0"/>
              <w:spacing w:afterLines="50" w:after="120"/>
              <w:contextualSpacing/>
              <w:rPr>
                <w:rFonts w:ascii="Arial" w:hAnsi="Arial" w:cs="Arial"/>
                <w:color w:val="000000"/>
                <w:sz w:val="18"/>
                <w:szCs w:val="18"/>
                <w:highlight w:val="yellow"/>
              </w:rPr>
            </w:pPr>
            <w:r w:rsidRPr="004D3C65">
              <w:rPr>
                <w:rFonts w:ascii="Arial" w:hAnsi="Arial" w:cs="Arial"/>
                <w:color w:val="000000"/>
                <w:sz w:val="18"/>
                <w:szCs w:val="18"/>
                <w:highlight w:val="yellow"/>
              </w:rPr>
              <w:t>2) Support of the enhanced RRM for inter-frequency in connected mode to support FR2 high speed up to 350 km/h, as specified in TS 38.133</w:t>
            </w:r>
          </w:p>
        </w:tc>
        <w:tc>
          <w:tcPr>
            <w:tcW w:w="1479" w:type="dxa"/>
            <w:shd w:val="clear" w:color="auto" w:fill="auto"/>
          </w:tcPr>
          <w:p w14:paraId="5950C764" w14:textId="69FDCC1C" w:rsidR="004D3C65" w:rsidRPr="004D3C65" w:rsidRDefault="004D3C65" w:rsidP="004D3C65">
            <w:pPr>
              <w:keepNext/>
              <w:keepLines/>
              <w:rPr>
                <w:rFonts w:ascii="Arial" w:hAnsi="Arial" w:cs="Arial"/>
                <w:color w:val="000000"/>
                <w:sz w:val="18"/>
                <w:szCs w:val="18"/>
                <w:highlight w:val="yellow"/>
              </w:rPr>
            </w:pPr>
            <w:r w:rsidRPr="004D3C65">
              <w:rPr>
                <w:rFonts w:ascii="Arial" w:hAnsi="Arial" w:cs="Arial"/>
                <w:color w:val="000000"/>
                <w:sz w:val="18"/>
                <w:szCs w:val="18"/>
                <w:highlight w:val="yellow"/>
              </w:rPr>
              <w:t xml:space="preserve">22-1 </w:t>
            </w:r>
          </w:p>
        </w:tc>
        <w:tc>
          <w:tcPr>
            <w:tcW w:w="1074" w:type="dxa"/>
            <w:shd w:val="clear" w:color="auto" w:fill="auto"/>
          </w:tcPr>
          <w:p w14:paraId="0AFE2E5C" w14:textId="48EF92D3"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hint="eastAsia"/>
                <w:color w:val="000000"/>
                <w:sz w:val="18"/>
                <w:szCs w:val="18"/>
                <w:highlight w:val="yellow"/>
              </w:rPr>
              <w:t>Y</w:t>
            </w:r>
            <w:r w:rsidRPr="004D3C65">
              <w:rPr>
                <w:rFonts w:ascii="Arial" w:hAnsi="Arial" w:cs="Arial"/>
                <w:color w:val="000000"/>
                <w:sz w:val="18"/>
                <w:szCs w:val="18"/>
                <w:highlight w:val="yellow"/>
              </w:rPr>
              <w:t>es</w:t>
            </w:r>
          </w:p>
        </w:tc>
        <w:tc>
          <w:tcPr>
            <w:tcW w:w="1478" w:type="dxa"/>
            <w:shd w:val="clear" w:color="auto" w:fill="auto"/>
          </w:tcPr>
          <w:p w14:paraId="54452988" w14:textId="2431B680"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color w:val="000000"/>
                <w:sz w:val="18"/>
                <w:szCs w:val="18"/>
                <w:highlight w:val="yellow"/>
              </w:rPr>
              <w:t>No</w:t>
            </w:r>
          </w:p>
        </w:tc>
        <w:tc>
          <w:tcPr>
            <w:tcW w:w="1343" w:type="dxa"/>
          </w:tcPr>
          <w:p w14:paraId="7C572364" w14:textId="1C7E49DF" w:rsidR="004D3C65" w:rsidRPr="004D3C65" w:rsidRDefault="004D3C65" w:rsidP="004D3C65">
            <w:pPr>
              <w:keepNext/>
              <w:keepLines/>
              <w:jc w:val="left"/>
              <w:rPr>
                <w:rFonts w:ascii="Arial" w:hAnsi="Arial" w:cs="Arial"/>
                <w:color w:val="000000"/>
                <w:sz w:val="18"/>
                <w:szCs w:val="18"/>
                <w:highlight w:val="yellow"/>
              </w:rPr>
            </w:pPr>
            <w:r w:rsidRPr="004D3C65">
              <w:rPr>
                <w:rFonts w:ascii="Arial" w:hAnsi="Arial" w:cs="Arial"/>
                <w:color w:val="000000"/>
                <w:sz w:val="18"/>
                <w:szCs w:val="18"/>
                <w:highlight w:val="yellow"/>
              </w:rPr>
              <w:t>The performance of RRM for intra-frequency measurement on SCC and</w:t>
            </w:r>
            <w:r w:rsidRPr="004D3C65">
              <w:rPr>
                <w:rFonts w:ascii="Arial" w:hAnsi="Arial" w:cs="Arial" w:hint="eastAsia"/>
                <w:color w:val="000000"/>
                <w:sz w:val="18"/>
                <w:szCs w:val="18"/>
                <w:highlight w:val="yellow"/>
              </w:rPr>
              <w:t>/</w:t>
            </w:r>
            <w:r w:rsidRPr="004D3C65">
              <w:rPr>
                <w:rFonts w:ascii="Arial" w:hAnsi="Arial" w:cs="Arial"/>
                <w:color w:val="000000"/>
                <w:sz w:val="18"/>
                <w:szCs w:val="18"/>
                <w:highlight w:val="yellow"/>
              </w:rPr>
              <w:t>or inter-frequency measurement in connected mode for NR FR2 HST scenario cannot be guaranteed</w:t>
            </w:r>
          </w:p>
        </w:tc>
        <w:tc>
          <w:tcPr>
            <w:tcW w:w="1210" w:type="dxa"/>
            <w:shd w:val="clear" w:color="auto" w:fill="auto"/>
          </w:tcPr>
          <w:p w14:paraId="35F59D21" w14:textId="65B70033" w:rsidR="004D3C65" w:rsidRPr="004D3C65" w:rsidRDefault="004D3C65" w:rsidP="004D3C65">
            <w:pPr>
              <w:keepNext/>
              <w:keepLines/>
              <w:rPr>
                <w:rFonts w:ascii="Arial" w:hAnsi="Arial" w:cs="Arial"/>
                <w:color w:val="000000"/>
                <w:sz w:val="18"/>
                <w:szCs w:val="18"/>
                <w:highlight w:val="yellow"/>
              </w:rPr>
            </w:pPr>
            <w:r w:rsidRPr="004D3C65">
              <w:rPr>
                <w:rFonts w:ascii="Arial" w:hAnsi="Arial" w:cs="Arial"/>
                <w:color w:val="000000"/>
                <w:sz w:val="18"/>
                <w:szCs w:val="18"/>
                <w:highlight w:val="yellow"/>
              </w:rPr>
              <w:t>Per UE</w:t>
            </w:r>
          </w:p>
        </w:tc>
        <w:tc>
          <w:tcPr>
            <w:tcW w:w="940" w:type="dxa"/>
            <w:shd w:val="clear" w:color="auto" w:fill="auto"/>
          </w:tcPr>
          <w:p w14:paraId="2A99C0C0" w14:textId="78567B1F"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color w:val="000000"/>
                <w:sz w:val="18"/>
                <w:szCs w:val="18"/>
                <w:highlight w:val="yellow"/>
              </w:rPr>
              <w:t>NO</w:t>
            </w:r>
          </w:p>
        </w:tc>
        <w:tc>
          <w:tcPr>
            <w:tcW w:w="941" w:type="dxa"/>
            <w:shd w:val="clear" w:color="auto" w:fill="auto"/>
          </w:tcPr>
          <w:p w14:paraId="67843D58" w14:textId="2808F2FF"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color w:val="000000"/>
                <w:sz w:val="18"/>
                <w:szCs w:val="18"/>
                <w:highlight w:val="yellow"/>
              </w:rPr>
              <w:t>FR2 only</w:t>
            </w:r>
          </w:p>
        </w:tc>
        <w:tc>
          <w:tcPr>
            <w:tcW w:w="1746" w:type="dxa"/>
          </w:tcPr>
          <w:p w14:paraId="573250A1" w14:textId="27C1D73F"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hint="eastAsia"/>
                <w:color w:val="000000"/>
                <w:sz w:val="18"/>
                <w:szCs w:val="18"/>
                <w:highlight w:val="yellow"/>
              </w:rPr>
              <w:t>N</w:t>
            </w:r>
            <w:r w:rsidRPr="004D3C65">
              <w:rPr>
                <w:rFonts w:ascii="Arial" w:hAnsi="Arial" w:cs="Arial"/>
                <w:color w:val="000000"/>
                <w:sz w:val="18"/>
                <w:szCs w:val="18"/>
                <w:highlight w:val="yellow"/>
              </w:rPr>
              <w:t>/A</w:t>
            </w:r>
          </w:p>
        </w:tc>
        <w:tc>
          <w:tcPr>
            <w:tcW w:w="1747" w:type="dxa"/>
            <w:shd w:val="clear" w:color="auto" w:fill="auto"/>
          </w:tcPr>
          <w:p w14:paraId="404C0D66" w14:textId="77777777" w:rsidR="004D3C65" w:rsidRPr="004D3C65" w:rsidRDefault="004D3C65"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highlight w:val="yellow"/>
              </w:rPr>
            </w:pPr>
          </w:p>
        </w:tc>
        <w:tc>
          <w:tcPr>
            <w:tcW w:w="1210" w:type="dxa"/>
            <w:shd w:val="clear" w:color="auto" w:fill="auto"/>
          </w:tcPr>
          <w:p w14:paraId="40AAE4E3" w14:textId="45CF667E"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color w:val="000000"/>
                <w:sz w:val="18"/>
                <w:szCs w:val="18"/>
                <w:highlight w:val="yellow"/>
              </w:rPr>
              <w:t>Optional with capability signalling</w:t>
            </w:r>
          </w:p>
        </w:tc>
      </w:tr>
      <w:tr w:rsidR="004D3C65" w:rsidRPr="001F1849" w14:paraId="17C8FC95" w14:textId="77777777" w:rsidTr="001F1849">
        <w:trPr>
          <w:trHeight w:val="17"/>
        </w:trPr>
        <w:tc>
          <w:tcPr>
            <w:tcW w:w="1070" w:type="dxa"/>
            <w:shd w:val="clear" w:color="auto" w:fill="auto"/>
          </w:tcPr>
          <w:p w14:paraId="296BA42C" w14:textId="77777777" w:rsidR="004D3C65" w:rsidRPr="004D3C65" w:rsidRDefault="004D3C65" w:rsidP="004D3C65">
            <w:pPr>
              <w:rPr>
                <w:rFonts w:ascii="Arial" w:hAnsi="Arial" w:cs="Arial"/>
                <w:color w:val="000000"/>
                <w:sz w:val="18"/>
                <w:szCs w:val="18"/>
                <w:lang w:val="en-US" w:eastAsia="zh-CN"/>
              </w:rPr>
            </w:pPr>
          </w:p>
        </w:tc>
        <w:tc>
          <w:tcPr>
            <w:tcW w:w="672" w:type="dxa"/>
            <w:shd w:val="clear" w:color="auto" w:fill="auto"/>
          </w:tcPr>
          <w:p w14:paraId="2185F172" w14:textId="08B3035F" w:rsidR="004D3C65" w:rsidRPr="004D3C65" w:rsidRDefault="004D3C65" w:rsidP="004D3C65">
            <w:pPr>
              <w:keepNext/>
              <w:keepLines/>
              <w:overflowPunct w:val="0"/>
              <w:autoSpaceDE w:val="0"/>
              <w:autoSpaceDN w:val="0"/>
              <w:adjustRightInd w:val="0"/>
              <w:textAlignment w:val="baseline"/>
              <w:rPr>
                <w:rFonts w:ascii="Arial" w:eastAsiaTheme="minorEastAsia" w:hAnsi="Arial" w:cs="Arial"/>
                <w:bCs/>
                <w:color w:val="000000"/>
                <w:sz w:val="18"/>
                <w:szCs w:val="18"/>
                <w:highlight w:val="yellow"/>
                <w:lang w:eastAsia="zh-CN"/>
              </w:rPr>
            </w:pPr>
            <w:r w:rsidRPr="004D3C65">
              <w:rPr>
                <w:rFonts w:ascii="Arial" w:eastAsiaTheme="minorEastAsia" w:hAnsi="Arial" w:cs="Arial"/>
                <w:color w:val="000000"/>
                <w:sz w:val="18"/>
                <w:szCs w:val="18"/>
                <w:highlight w:val="yellow"/>
              </w:rPr>
              <w:t>34</w:t>
            </w:r>
            <w:r w:rsidRPr="004D3C65">
              <w:rPr>
                <w:rFonts w:ascii="Arial" w:hAnsi="Arial" w:cs="Arial"/>
                <w:color w:val="000000"/>
                <w:sz w:val="18"/>
                <w:szCs w:val="18"/>
                <w:highlight w:val="yellow"/>
              </w:rPr>
              <w:t>-3</w:t>
            </w:r>
          </w:p>
        </w:tc>
        <w:tc>
          <w:tcPr>
            <w:tcW w:w="1478" w:type="dxa"/>
            <w:shd w:val="clear" w:color="auto" w:fill="auto"/>
          </w:tcPr>
          <w:p w14:paraId="2A8C6481" w14:textId="2E5F47E7"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color w:val="000000"/>
                <w:sz w:val="18"/>
                <w:szCs w:val="18"/>
                <w:highlight w:val="yellow"/>
              </w:rPr>
              <w:t xml:space="preserve">Enhanced RRM requirements specified for inter-frequency measurement in Idle and Inactive mode for FR2 HST </w:t>
            </w:r>
          </w:p>
        </w:tc>
        <w:tc>
          <w:tcPr>
            <w:tcW w:w="4840" w:type="dxa"/>
            <w:shd w:val="clear" w:color="auto" w:fill="auto"/>
          </w:tcPr>
          <w:p w14:paraId="66F86448" w14:textId="3DF3192E" w:rsidR="004D3C65" w:rsidRPr="004D3C65" w:rsidRDefault="004D3C65" w:rsidP="004D3C65">
            <w:pPr>
              <w:autoSpaceDE w:val="0"/>
              <w:autoSpaceDN w:val="0"/>
              <w:adjustRightInd w:val="0"/>
              <w:snapToGrid w:val="0"/>
              <w:spacing w:afterLines="50" w:after="120"/>
              <w:contextualSpacing/>
              <w:rPr>
                <w:rFonts w:ascii="Arial" w:hAnsi="Arial" w:cs="Arial"/>
                <w:color w:val="000000"/>
                <w:sz w:val="18"/>
                <w:szCs w:val="18"/>
                <w:highlight w:val="yellow"/>
              </w:rPr>
            </w:pPr>
            <w:r w:rsidRPr="004D3C65">
              <w:rPr>
                <w:rFonts w:ascii="Arial" w:hAnsi="Arial" w:cs="Arial"/>
                <w:color w:val="000000"/>
                <w:sz w:val="18"/>
                <w:szCs w:val="18"/>
                <w:highlight w:val="yellow"/>
              </w:rPr>
              <w:t>Support of the enhanced RRM for inter-frequency in idle and Inactive mode to support FR2 high speed up to 350 km/h, as specified in TS 38.133</w:t>
            </w:r>
          </w:p>
        </w:tc>
        <w:tc>
          <w:tcPr>
            <w:tcW w:w="1479" w:type="dxa"/>
            <w:shd w:val="clear" w:color="auto" w:fill="auto"/>
          </w:tcPr>
          <w:p w14:paraId="622BF991" w14:textId="209C9F03" w:rsidR="004D3C65" w:rsidRPr="004D3C65" w:rsidRDefault="004D3C65" w:rsidP="004D3C65">
            <w:pPr>
              <w:keepNext/>
              <w:keepLines/>
              <w:rPr>
                <w:rFonts w:ascii="Arial" w:hAnsi="Arial" w:cs="Arial"/>
                <w:color w:val="000000"/>
                <w:sz w:val="18"/>
                <w:szCs w:val="18"/>
                <w:highlight w:val="yellow"/>
              </w:rPr>
            </w:pPr>
            <w:r w:rsidRPr="004D3C65">
              <w:rPr>
                <w:rFonts w:ascii="Arial" w:hAnsi="Arial" w:cs="Arial"/>
                <w:color w:val="000000"/>
                <w:sz w:val="18"/>
                <w:szCs w:val="18"/>
                <w:highlight w:val="yellow"/>
              </w:rPr>
              <w:t>22-1</w:t>
            </w:r>
          </w:p>
        </w:tc>
        <w:tc>
          <w:tcPr>
            <w:tcW w:w="1074" w:type="dxa"/>
            <w:shd w:val="clear" w:color="auto" w:fill="auto"/>
          </w:tcPr>
          <w:p w14:paraId="4C122098" w14:textId="449D9B29"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hint="eastAsia"/>
                <w:color w:val="000000"/>
                <w:sz w:val="18"/>
                <w:szCs w:val="18"/>
                <w:highlight w:val="yellow"/>
              </w:rPr>
              <w:t>Y</w:t>
            </w:r>
            <w:r w:rsidRPr="004D3C65">
              <w:rPr>
                <w:rFonts w:ascii="Arial" w:hAnsi="Arial" w:cs="Arial"/>
                <w:color w:val="000000"/>
                <w:sz w:val="18"/>
                <w:szCs w:val="18"/>
                <w:highlight w:val="yellow"/>
              </w:rPr>
              <w:t>es</w:t>
            </w:r>
          </w:p>
        </w:tc>
        <w:tc>
          <w:tcPr>
            <w:tcW w:w="1478" w:type="dxa"/>
            <w:shd w:val="clear" w:color="auto" w:fill="auto"/>
          </w:tcPr>
          <w:p w14:paraId="6E7936CA" w14:textId="22D15865"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color w:val="000000"/>
                <w:sz w:val="18"/>
                <w:szCs w:val="18"/>
                <w:highlight w:val="yellow"/>
              </w:rPr>
              <w:t>No</w:t>
            </w:r>
          </w:p>
        </w:tc>
        <w:tc>
          <w:tcPr>
            <w:tcW w:w="1343" w:type="dxa"/>
          </w:tcPr>
          <w:p w14:paraId="3B37DFD7" w14:textId="23470DEA" w:rsidR="004D3C65" w:rsidRPr="004D3C65" w:rsidRDefault="004D3C65" w:rsidP="004D3C65">
            <w:pPr>
              <w:keepNext/>
              <w:keepLines/>
              <w:jc w:val="left"/>
              <w:rPr>
                <w:rFonts w:ascii="Arial" w:hAnsi="Arial" w:cs="Arial"/>
                <w:color w:val="000000"/>
                <w:sz w:val="18"/>
                <w:szCs w:val="18"/>
                <w:highlight w:val="yellow"/>
              </w:rPr>
            </w:pPr>
            <w:r w:rsidRPr="004D3C65">
              <w:rPr>
                <w:rFonts w:ascii="Arial" w:hAnsi="Arial" w:cs="Arial"/>
                <w:color w:val="000000"/>
                <w:sz w:val="18"/>
                <w:szCs w:val="18"/>
                <w:highlight w:val="yellow"/>
              </w:rPr>
              <w:t>The performance of RRM for inter-frequency measurement in idle and Inactive mode for FR2 HST scenario cannot be guaranteed</w:t>
            </w:r>
          </w:p>
        </w:tc>
        <w:tc>
          <w:tcPr>
            <w:tcW w:w="1210" w:type="dxa"/>
            <w:shd w:val="clear" w:color="auto" w:fill="auto"/>
          </w:tcPr>
          <w:p w14:paraId="699309B4" w14:textId="70076C48" w:rsidR="004D3C65" w:rsidRPr="004D3C65" w:rsidRDefault="004D3C65" w:rsidP="004D3C65">
            <w:pPr>
              <w:keepNext/>
              <w:keepLines/>
              <w:rPr>
                <w:rFonts w:ascii="Arial" w:hAnsi="Arial" w:cs="Arial"/>
                <w:color w:val="000000"/>
                <w:sz w:val="18"/>
                <w:szCs w:val="18"/>
                <w:highlight w:val="yellow"/>
              </w:rPr>
            </w:pPr>
            <w:r w:rsidRPr="004D3C65">
              <w:rPr>
                <w:rFonts w:ascii="Arial" w:hAnsi="Arial" w:cs="Arial"/>
                <w:color w:val="000000"/>
                <w:sz w:val="18"/>
                <w:szCs w:val="18"/>
                <w:highlight w:val="yellow"/>
              </w:rPr>
              <w:t>Per UE</w:t>
            </w:r>
          </w:p>
        </w:tc>
        <w:tc>
          <w:tcPr>
            <w:tcW w:w="940" w:type="dxa"/>
            <w:shd w:val="clear" w:color="auto" w:fill="auto"/>
          </w:tcPr>
          <w:p w14:paraId="48E82CFC" w14:textId="7CBB66A7"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color w:val="000000"/>
                <w:sz w:val="18"/>
                <w:szCs w:val="18"/>
                <w:highlight w:val="yellow"/>
              </w:rPr>
              <w:t>NO</w:t>
            </w:r>
          </w:p>
        </w:tc>
        <w:tc>
          <w:tcPr>
            <w:tcW w:w="941" w:type="dxa"/>
            <w:shd w:val="clear" w:color="auto" w:fill="auto"/>
          </w:tcPr>
          <w:p w14:paraId="0E129D49" w14:textId="7E623734"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color w:val="000000"/>
                <w:sz w:val="18"/>
                <w:szCs w:val="18"/>
                <w:highlight w:val="yellow"/>
              </w:rPr>
              <w:t>FR2 only</w:t>
            </w:r>
          </w:p>
        </w:tc>
        <w:tc>
          <w:tcPr>
            <w:tcW w:w="1746" w:type="dxa"/>
          </w:tcPr>
          <w:p w14:paraId="7B28B5E9" w14:textId="4E197CCF"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hint="eastAsia"/>
                <w:color w:val="000000"/>
                <w:sz w:val="18"/>
                <w:szCs w:val="18"/>
                <w:highlight w:val="yellow"/>
              </w:rPr>
              <w:t>N</w:t>
            </w:r>
            <w:r w:rsidRPr="004D3C65">
              <w:rPr>
                <w:rFonts w:ascii="Arial" w:hAnsi="Arial" w:cs="Arial"/>
                <w:color w:val="000000"/>
                <w:sz w:val="18"/>
                <w:szCs w:val="18"/>
                <w:highlight w:val="yellow"/>
              </w:rPr>
              <w:t>/A</w:t>
            </w:r>
          </w:p>
        </w:tc>
        <w:tc>
          <w:tcPr>
            <w:tcW w:w="1747" w:type="dxa"/>
            <w:shd w:val="clear" w:color="auto" w:fill="auto"/>
          </w:tcPr>
          <w:p w14:paraId="63D794EB" w14:textId="77777777" w:rsidR="004D3C65" w:rsidRPr="004D3C65" w:rsidRDefault="004D3C65"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highlight w:val="yellow"/>
              </w:rPr>
            </w:pPr>
          </w:p>
        </w:tc>
        <w:tc>
          <w:tcPr>
            <w:tcW w:w="1210" w:type="dxa"/>
            <w:shd w:val="clear" w:color="auto" w:fill="auto"/>
          </w:tcPr>
          <w:p w14:paraId="6078DD27" w14:textId="05B869C4"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color w:val="000000"/>
                <w:sz w:val="18"/>
                <w:szCs w:val="18"/>
                <w:highlight w:val="yellow"/>
              </w:rPr>
              <w:t>Optional without capability signalling</w:t>
            </w:r>
          </w:p>
        </w:tc>
      </w:tr>
      <w:tr w:rsidR="004D3C65" w:rsidRPr="001F1849" w14:paraId="3D0D0897" w14:textId="77777777" w:rsidTr="001F1849">
        <w:trPr>
          <w:trHeight w:val="17"/>
        </w:trPr>
        <w:tc>
          <w:tcPr>
            <w:tcW w:w="1070" w:type="dxa"/>
            <w:shd w:val="clear" w:color="auto" w:fill="auto"/>
          </w:tcPr>
          <w:p w14:paraId="30567867" w14:textId="77777777" w:rsidR="004D3C65" w:rsidRPr="004D3C65" w:rsidRDefault="004D3C65" w:rsidP="004D3C65">
            <w:pPr>
              <w:rPr>
                <w:rFonts w:ascii="Arial" w:hAnsi="Arial" w:cs="Arial"/>
                <w:color w:val="000000"/>
                <w:sz w:val="18"/>
                <w:szCs w:val="18"/>
                <w:lang w:val="en-US" w:eastAsia="zh-CN"/>
              </w:rPr>
            </w:pPr>
          </w:p>
        </w:tc>
        <w:tc>
          <w:tcPr>
            <w:tcW w:w="672" w:type="dxa"/>
            <w:shd w:val="clear" w:color="auto" w:fill="auto"/>
          </w:tcPr>
          <w:p w14:paraId="0055DEDD" w14:textId="2B65FB39" w:rsidR="004D3C65" w:rsidRPr="004D3C65" w:rsidRDefault="004D3C65" w:rsidP="004D3C65">
            <w:pPr>
              <w:keepNext/>
              <w:keepLines/>
              <w:overflowPunct w:val="0"/>
              <w:autoSpaceDE w:val="0"/>
              <w:autoSpaceDN w:val="0"/>
              <w:adjustRightInd w:val="0"/>
              <w:textAlignment w:val="baseline"/>
              <w:rPr>
                <w:rFonts w:ascii="Arial" w:eastAsiaTheme="minorEastAsia" w:hAnsi="Arial" w:cs="Arial"/>
                <w:bCs/>
                <w:color w:val="000000"/>
                <w:sz w:val="18"/>
                <w:szCs w:val="18"/>
                <w:highlight w:val="yellow"/>
                <w:lang w:eastAsia="zh-CN"/>
              </w:rPr>
            </w:pPr>
            <w:r w:rsidRPr="004D3C65">
              <w:rPr>
                <w:rFonts w:ascii="Arial" w:eastAsiaTheme="minorEastAsia" w:hAnsi="Arial" w:cs="Arial"/>
                <w:color w:val="000000"/>
                <w:sz w:val="18"/>
                <w:szCs w:val="18"/>
                <w:highlight w:val="yellow"/>
              </w:rPr>
              <w:t>34</w:t>
            </w:r>
            <w:r w:rsidRPr="004D3C65">
              <w:rPr>
                <w:rFonts w:ascii="Arial" w:hAnsi="Arial" w:cs="Arial"/>
                <w:color w:val="000000"/>
                <w:sz w:val="18"/>
                <w:szCs w:val="18"/>
                <w:highlight w:val="yellow"/>
              </w:rPr>
              <w:t>-4</w:t>
            </w:r>
          </w:p>
        </w:tc>
        <w:tc>
          <w:tcPr>
            <w:tcW w:w="1478" w:type="dxa"/>
            <w:shd w:val="clear" w:color="auto" w:fill="auto"/>
          </w:tcPr>
          <w:p w14:paraId="02637AF9" w14:textId="77777777" w:rsidR="004D3C65" w:rsidRPr="004D3C65" w:rsidRDefault="004D3C65" w:rsidP="004D3C65">
            <w:pPr>
              <w:keepNext/>
              <w:keepLines/>
              <w:rPr>
                <w:rFonts w:ascii="Arial" w:hAnsi="Arial" w:cs="Arial"/>
                <w:color w:val="000000"/>
                <w:sz w:val="18"/>
                <w:szCs w:val="18"/>
                <w:highlight w:val="yellow"/>
              </w:rPr>
            </w:pPr>
            <w:r w:rsidRPr="004D3C65">
              <w:rPr>
                <w:rFonts w:ascii="Arial" w:hAnsi="Arial" w:cs="Arial"/>
                <w:color w:val="000000"/>
                <w:sz w:val="18"/>
                <w:szCs w:val="18"/>
                <w:highlight w:val="yellow"/>
              </w:rPr>
              <w:t xml:space="preserve">Support of enhanced one shot large UL timing adjustment </w:t>
            </w:r>
          </w:p>
          <w:p w14:paraId="3D715DF3" w14:textId="77777777" w:rsidR="004D3C65" w:rsidRPr="004D3C65" w:rsidRDefault="004D3C65" w:rsidP="004D3C65">
            <w:pPr>
              <w:keepNext/>
              <w:keepLines/>
              <w:rPr>
                <w:rFonts w:ascii="Arial" w:hAnsi="Arial" w:cs="Arial"/>
                <w:color w:val="000000"/>
                <w:sz w:val="18"/>
                <w:szCs w:val="18"/>
                <w:highlight w:val="yellow"/>
              </w:rPr>
            </w:pPr>
          </w:p>
          <w:p w14:paraId="795376C9" w14:textId="6FDF9A00"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p>
        </w:tc>
        <w:tc>
          <w:tcPr>
            <w:tcW w:w="4840" w:type="dxa"/>
            <w:shd w:val="clear" w:color="auto" w:fill="auto"/>
          </w:tcPr>
          <w:p w14:paraId="2001D1D5" w14:textId="77777777" w:rsidR="004D3C65" w:rsidRPr="004D3C65" w:rsidRDefault="004D3C65" w:rsidP="004D3C65">
            <w:pPr>
              <w:snapToGrid w:val="0"/>
              <w:spacing w:afterLines="50" w:after="120"/>
              <w:contextualSpacing/>
              <w:rPr>
                <w:rFonts w:ascii="Arial" w:hAnsi="Arial" w:cs="Arial"/>
                <w:color w:val="000000"/>
                <w:sz w:val="18"/>
                <w:szCs w:val="18"/>
                <w:highlight w:val="yellow"/>
              </w:rPr>
            </w:pPr>
            <w:r w:rsidRPr="004D3C65">
              <w:rPr>
                <w:rFonts w:ascii="Arial" w:hAnsi="Arial" w:cs="Arial"/>
                <w:color w:val="000000"/>
                <w:sz w:val="18"/>
                <w:szCs w:val="18"/>
                <w:highlight w:val="yellow"/>
              </w:rPr>
              <w:t>1) Support of one shot large UL timing adjustment with 1 bit MAC-CE based cross-RRH indication.</w:t>
            </w:r>
          </w:p>
          <w:p w14:paraId="1200E733" w14:textId="00DB9F44" w:rsidR="004D3C65" w:rsidRPr="004D3C65" w:rsidRDefault="004D3C65" w:rsidP="004D3C65">
            <w:pPr>
              <w:autoSpaceDE w:val="0"/>
              <w:autoSpaceDN w:val="0"/>
              <w:adjustRightInd w:val="0"/>
              <w:snapToGrid w:val="0"/>
              <w:spacing w:afterLines="50" w:after="120"/>
              <w:contextualSpacing/>
              <w:rPr>
                <w:rFonts w:ascii="Arial" w:hAnsi="Arial" w:cs="Arial"/>
                <w:color w:val="000000"/>
                <w:sz w:val="18"/>
                <w:szCs w:val="18"/>
                <w:highlight w:val="yellow"/>
              </w:rPr>
            </w:pPr>
            <w:r w:rsidRPr="004D3C65">
              <w:rPr>
                <w:rFonts w:ascii="Arial" w:hAnsi="Arial" w:cs="Arial" w:hint="eastAsia"/>
                <w:color w:val="000000"/>
                <w:sz w:val="18"/>
                <w:szCs w:val="18"/>
                <w:highlight w:val="yellow"/>
              </w:rPr>
              <w:t>2</w:t>
            </w:r>
            <w:r w:rsidRPr="004D3C65">
              <w:rPr>
                <w:rFonts w:ascii="Arial" w:hAnsi="Arial" w:cs="Arial"/>
                <w:color w:val="000000"/>
                <w:sz w:val="18"/>
                <w:szCs w:val="18"/>
                <w:highlight w:val="yellow"/>
              </w:rPr>
              <w:t>) Support of TCI state switching delay measurement with 1 bit MAC-CE based cross-RRH indication.</w:t>
            </w:r>
          </w:p>
        </w:tc>
        <w:tc>
          <w:tcPr>
            <w:tcW w:w="1479" w:type="dxa"/>
            <w:shd w:val="clear" w:color="auto" w:fill="auto"/>
          </w:tcPr>
          <w:p w14:paraId="47B239DD" w14:textId="49182C81" w:rsidR="004D3C65" w:rsidRPr="004D3C65" w:rsidRDefault="004D3C65" w:rsidP="004D3C65">
            <w:pPr>
              <w:keepNext/>
              <w:keepLines/>
              <w:rPr>
                <w:rFonts w:ascii="Arial" w:hAnsi="Arial" w:cs="Arial"/>
                <w:color w:val="000000"/>
                <w:sz w:val="18"/>
                <w:szCs w:val="18"/>
                <w:highlight w:val="yellow"/>
              </w:rPr>
            </w:pPr>
            <w:r w:rsidRPr="004D3C65">
              <w:rPr>
                <w:rFonts w:ascii="Arial" w:hAnsi="Arial" w:cs="Arial"/>
                <w:color w:val="000000"/>
                <w:sz w:val="18"/>
                <w:szCs w:val="18"/>
                <w:highlight w:val="yellow"/>
              </w:rPr>
              <w:t xml:space="preserve">22-2 </w:t>
            </w:r>
          </w:p>
        </w:tc>
        <w:tc>
          <w:tcPr>
            <w:tcW w:w="1074" w:type="dxa"/>
            <w:shd w:val="clear" w:color="auto" w:fill="auto"/>
          </w:tcPr>
          <w:p w14:paraId="1B629ED1" w14:textId="50298C3D"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hint="eastAsia"/>
                <w:color w:val="000000"/>
                <w:sz w:val="18"/>
                <w:szCs w:val="18"/>
                <w:highlight w:val="yellow"/>
              </w:rPr>
              <w:t>Y</w:t>
            </w:r>
            <w:r w:rsidRPr="004D3C65">
              <w:rPr>
                <w:rFonts w:ascii="Arial" w:hAnsi="Arial" w:cs="Arial"/>
                <w:color w:val="000000"/>
                <w:sz w:val="18"/>
                <w:szCs w:val="18"/>
                <w:highlight w:val="yellow"/>
              </w:rPr>
              <w:t>es</w:t>
            </w:r>
          </w:p>
        </w:tc>
        <w:tc>
          <w:tcPr>
            <w:tcW w:w="1478" w:type="dxa"/>
            <w:shd w:val="clear" w:color="auto" w:fill="auto"/>
          </w:tcPr>
          <w:p w14:paraId="31736F00" w14:textId="4A2E5BD7"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color w:val="000000"/>
                <w:sz w:val="18"/>
                <w:szCs w:val="18"/>
                <w:highlight w:val="yellow"/>
              </w:rPr>
              <w:t>No</w:t>
            </w:r>
          </w:p>
        </w:tc>
        <w:tc>
          <w:tcPr>
            <w:tcW w:w="1343" w:type="dxa"/>
          </w:tcPr>
          <w:p w14:paraId="347619E2" w14:textId="071AFC0E" w:rsidR="004D3C65" w:rsidRPr="004D3C65" w:rsidRDefault="004D3C65" w:rsidP="004D3C65">
            <w:pPr>
              <w:keepNext/>
              <w:keepLines/>
              <w:jc w:val="left"/>
              <w:rPr>
                <w:rFonts w:ascii="Arial" w:hAnsi="Arial" w:cs="Arial"/>
                <w:color w:val="000000"/>
                <w:sz w:val="18"/>
                <w:szCs w:val="18"/>
                <w:highlight w:val="yellow"/>
              </w:rPr>
            </w:pPr>
            <w:r w:rsidRPr="004D3C65">
              <w:rPr>
                <w:rFonts w:ascii="Arial" w:hAnsi="Arial" w:cs="Arial"/>
                <w:color w:val="000000"/>
                <w:sz w:val="18"/>
                <w:szCs w:val="18"/>
                <w:highlight w:val="yellow"/>
              </w:rPr>
              <w:t>UE does not meet one shot large UL timing adjustment and TCI state switching delay measurement with 1 bit MAC-CE based cross-RRH indication</w:t>
            </w:r>
          </w:p>
        </w:tc>
        <w:tc>
          <w:tcPr>
            <w:tcW w:w="1210" w:type="dxa"/>
            <w:shd w:val="clear" w:color="auto" w:fill="auto"/>
          </w:tcPr>
          <w:p w14:paraId="31CBC67F" w14:textId="28174631" w:rsidR="004D3C65" w:rsidRPr="004D3C65" w:rsidRDefault="004D3C65" w:rsidP="004D3C65">
            <w:pPr>
              <w:keepNext/>
              <w:keepLines/>
              <w:rPr>
                <w:rFonts w:ascii="Arial" w:hAnsi="Arial" w:cs="Arial"/>
                <w:color w:val="000000"/>
                <w:sz w:val="18"/>
                <w:szCs w:val="18"/>
                <w:highlight w:val="yellow"/>
              </w:rPr>
            </w:pPr>
            <w:r w:rsidRPr="004D3C65">
              <w:rPr>
                <w:rFonts w:ascii="Arial" w:hAnsi="Arial" w:cs="Arial"/>
                <w:color w:val="000000"/>
                <w:sz w:val="18"/>
                <w:szCs w:val="18"/>
                <w:highlight w:val="yellow"/>
              </w:rPr>
              <w:t>Per Band</w:t>
            </w:r>
          </w:p>
        </w:tc>
        <w:tc>
          <w:tcPr>
            <w:tcW w:w="940" w:type="dxa"/>
            <w:shd w:val="clear" w:color="auto" w:fill="auto"/>
          </w:tcPr>
          <w:p w14:paraId="718AD658" w14:textId="4F3D1BB9"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color w:val="000000"/>
                <w:sz w:val="18"/>
                <w:szCs w:val="18"/>
                <w:highlight w:val="yellow"/>
              </w:rPr>
              <w:t>NO</w:t>
            </w:r>
          </w:p>
        </w:tc>
        <w:tc>
          <w:tcPr>
            <w:tcW w:w="941" w:type="dxa"/>
            <w:shd w:val="clear" w:color="auto" w:fill="auto"/>
          </w:tcPr>
          <w:p w14:paraId="764DD07F" w14:textId="760BC919"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color w:val="000000"/>
                <w:sz w:val="18"/>
                <w:szCs w:val="18"/>
                <w:highlight w:val="yellow"/>
              </w:rPr>
              <w:t>FR2 only</w:t>
            </w:r>
          </w:p>
        </w:tc>
        <w:tc>
          <w:tcPr>
            <w:tcW w:w="1746" w:type="dxa"/>
          </w:tcPr>
          <w:p w14:paraId="224492F2" w14:textId="4729EAE3"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hint="eastAsia"/>
                <w:color w:val="000000"/>
                <w:sz w:val="18"/>
                <w:szCs w:val="18"/>
                <w:highlight w:val="yellow"/>
              </w:rPr>
              <w:t>N</w:t>
            </w:r>
            <w:r w:rsidRPr="004D3C65">
              <w:rPr>
                <w:rFonts w:ascii="Arial" w:hAnsi="Arial" w:cs="Arial"/>
                <w:color w:val="000000"/>
                <w:sz w:val="18"/>
                <w:szCs w:val="18"/>
                <w:highlight w:val="yellow"/>
              </w:rPr>
              <w:t>/A</w:t>
            </w:r>
          </w:p>
        </w:tc>
        <w:tc>
          <w:tcPr>
            <w:tcW w:w="1747" w:type="dxa"/>
            <w:shd w:val="clear" w:color="auto" w:fill="auto"/>
          </w:tcPr>
          <w:p w14:paraId="561D14C2" w14:textId="77777777" w:rsidR="004D3C65" w:rsidRPr="004D3C65" w:rsidRDefault="004D3C65" w:rsidP="004D3C65">
            <w:pPr>
              <w:snapToGrid w:val="0"/>
              <w:spacing w:afterLines="50" w:after="120"/>
              <w:contextualSpacing/>
              <w:rPr>
                <w:rFonts w:ascii="Arial" w:hAnsi="Arial" w:cs="Arial"/>
                <w:color w:val="000000"/>
                <w:sz w:val="18"/>
                <w:szCs w:val="18"/>
                <w:highlight w:val="yellow"/>
              </w:rPr>
            </w:pPr>
            <w:r w:rsidRPr="004D3C65">
              <w:rPr>
                <w:rFonts w:ascii="Arial" w:hAnsi="Arial" w:cs="Arial"/>
                <w:color w:val="000000"/>
                <w:sz w:val="18"/>
                <w:szCs w:val="18"/>
                <w:highlight w:val="yellow"/>
              </w:rPr>
              <w:t xml:space="preserve">1) </w:t>
            </w:r>
            <w:r w:rsidRPr="004D3C65">
              <w:rPr>
                <w:rFonts w:ascii="Arial" w:hAnsi="Arial" w:cs="Arial" w:hint="eastAsia"/>
                <w:color w:val="000000"/>
                <w:sz w:val="18"/>
                <w:szCs w:val="18"/>
                <w:highlight w:val="yellow"/>
              </w:rPr>
              <w:t>I</w:t>
            </w:r>
            <w:r w:rsidRPr="004D3C65">
              <w:rPr>
                <w:rFonts w:ascii="Arial" w:hAnsi="Arial" w:cs="Arial"/>
                <w:color w:val="000000"/>
                <w:sz w:val="18"/>
                <w:szCs w:val="18"/>
                <w:highlight w:val="yellow"/>
              </w:rPr>
              <w:t>f MAC-CE indicates “1”, when a UE indicates supporting 22-2, the UE is expected to apply one shot large timing adjustment, specified in TS 38.133 Clause 7.1.2.3 and apply Rel-17 TCI state switching delay, specified in TS 38.133 Clause 8.10.3A.</w:t>
            </w:r>
          </w:p>
          <w:p w14:paraId="3BC61CAA" w14:textId="34B245F9" w:rsidR="004D3C65" w:rsidRPr="004D3C65" w:rsidRDefault="004D3C65"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highlight w:val="yellow"/>
              </w:rPr>
            </w:pPr>
            <w:r w:rsidRPr="004D3C65">
              <w:rPr>
                <w:rFonts w:ascii="Arial" w:hAnsi="Arial" w:cs="Arial"/>
                <w:color w:val="000000"/>
                <w:sz w:val="18"/>
                <w:szCs w:val="18"/>
                <w:highlight w:val="yellow"/>
              </w:rPr>
              <w:t>2) If MAC-CE indicates “0”, the UE is expected to apply gradual timing adjustment requirements, specified in TS 38.133 Clause 7.1.2.1 and apply Rel-15 TCI state switching requirements, specified in TS 38.133 Clause  8.10.3</w:t>
            </w:r>
          </w:p>
        </w:tc>
        <w:tc>
          <w:tcPr>
            <w:tcW w:w="1210" w:type="dxa"/>
            <w:shd w:val="clear" w:color="auto" w:fill="auto"/>
          </w:tcPr>
          <w:p w14:paraId="3A467BED" w14:textId="6512738F" w:rsidR="004D3C65" w:rsidRPr="004D3C65" w:rsidRDefault="004D3C65" w:rsidP="004D3C65">
            <w:pPr>
              <w:keepNext/>
              <w:keepLines/>
              <w:overflowPunct w:val="0"/>
              <w:autoSpaceDE w:val="0"/>
              <w:autoSpaceDN w:val="0"/>
              <w:adjustRightInd w:val="0"/>
              <w:jc w:val="center"/>
              <w:textAlignment w:val="baseline"/>
              <w:rPr>
                <w:rFonts w:ascii="Arial" w:hAnsi="Arial" w:cs="Arial"/>
                <w:color w:val="000000"/>
                <w:sz w:val="18"/>
                <w:szCs w:val="18"/>
                <w:highlight w:val="yellow"/>
              </w:rPr>
            </w:pPr>
            <w:r w:rsidRPr="004D3C65">
              <w:rPr>
                <w:rFonts w:ascii="Arial" w:hAnsi="Arial" w:cs="Arial"/>
                <w:color w:val="000000"/>
                <w:sz w:val="18"/>
                <w:szCs w:val="18"/>
                <w:highlight w:val="yellow"/>
              </w:rPr>
              <w:t>Optional with capability signalling</w:t>
            </w:r>
          </w:p>
        </w:tc>
      </w:tr>
    </w:tbl>
    <w:p w14:paraId="355A3D16" w14:textId="53ED8DB1" w:rsidR="001F1849" w:rsidRDefault="001F1849" w:rsidP="00243618">
      <w:pPr>
        <w:spacing w:after="120" w:line="240" w:lineRule="auto"/>
        <w:jc w:val="left"/>
        <w:rPr>
          <w:sz w:val="18"/>
          <w:szCs w:val="18"/>
        </w:rPr>
        <w:sectPr w:rsidR="001F1849" w:rsidSect="001A22A5">
          <w:footnotePr>
            <w:numRestart w:val="eachSect"/>
          </w:footnotePr>
          <w:pgSz w:w="23808" w:h="16840" w:orient="landscape" w:code="8"/>
          <w:pgMar w:top="1134" w:right="1134" w:bottom="1134" w:left="1418" w:header="851" w:footer="340" w:gutter="0"/>
          <w:cols w:space="720"/>
          <w:formProt w:val="0"/>
          <w:docGrid w:linePitch="272"/>
        </w:sectPr>
      </w:pPr>
    </w:p>
    <w:p w14:paraId="2FE48129" w14:textId="52C0DFEB" w:rsidR="004D4AD9" w:rsidRDefault="005C333E" w:rsidP="000F259D">
      <w:pPr>
        <w:pStyle w:val="1"/>
        <w:rPr>
          <w:rFonts w:eastAsia="Malgun Gothic"/>
          <w:lang w:eastAsia="ko-KR"/>
        </w:rPr>
      </w:pPr>
      <w:r>
        <w:rPr>
          <w:rFonts w:eastAsia="Malgun Gothic"/>
          <w:lang w:eastAsia="ko-KR"/>
        </w:rPr>
        <w:lastRenderedPageBreak/>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707EA7B8" w14:textId="24EEAD50" w:rsidR="00FA138C" w:rsidRPr="00FA138C" w:rsidRDefault="003100C2" w:rsidP="00FA138C">
      <w:pPr>
        <w:rPr>
          <w:lang w:val="sv-SE" w:eastAsia="ko-KR"/>
        </w:rPr>
      </w:pPr>
      <w:r>
        <w:rPr>
          <w:lang w:val="sv-SE" w:eastAsia="ko-KR"/>
        </w:rPr>
        <w:t xml:space="preserve">In this t-doc, the discussion status on RAN4 UE feature list for Rel-18 MIMO and FR2 HST WI was summarized. </w:t>
      </w:r>
    </w:p>
    <w:p w14:paraId="1586C041" w14:textId="5FF78CB3" w:rsidR="009B37B2" w:rsidRDefault="00825D14">
      <w:pPr>
        <w:pStyle w:val="1"/>
        <w:rPr>
          <w:lang w:val="en-US" w:eastAsia="ja-JP"/>
        </w:rPr>
      </w:pPr>
      <w:r>
        <w:rPr>
          <w:lang w:val="en-US" w:eastAsia="ja-JP"/>
        </w:rPr>
        <w:t>Re</w:t>
      </w:r>
      <w:r w:rsidR="000C758B">
        <w:rPr>
          <w:lang w:val="en-US" w:eastAsia="ja-JP"/>
        </w:rPr>
        <w:t>ference</w:t>
      </w:r>
    </w:p>
    <w:p w14:paraId="75B824CE" w14:textId="2544B5BE" w:rsidR="00FA138C" w:rsidRDefault="00FA138C" w:rsidP="00FA138C">
      <w:pPr>
        <w:rPr>
          <w:rFonts w:eastAsia="微软雅黑"/>
          <w:color w:val="000000"/>
          <w:bdr w:val="none" w:sz="0" w:space="0" w:color="auto" w:frame="1"/>
        </w:rPr>
      </w:pPr>
      <w:r w:rsidRPr="00C12B4D">
        <w:rPr>
          <w:lang w:val="en-US" w:eastAsia="ja-JP"/>
        </w:rPr>
        <w:t xml:space="preserve">[1] </w:t>
      </w:r>
      <w:r w:rsidRPr="00C12B4D">
        <w:rPr>
          <w:rFonts w:eastAsia="微软雅黑"/>
          <w:color w:val="000000"/>
          <w:bdr w:val="none" w:sz="0" w:space="0" w:color="auto" w:frame="1"/>
        </w:rPr>
        <w:t>R4-2318013, LS on Rel-18 RAN1 UE features list for NR after RAN1#114bis, RAN1</w:t>
      </w:r>
      <w:r w:rsidR="00AF0265">
        <w:rPr>
          <w:rFonts w:eastAsia="微软雅黑"/>
          <w:color w:val="000000"/>
          <w:bdr w:val="none" w:sz="0" w:space="0" w:color="auto" w:frame="1"/>
        </w:rPr>
        <w:t xml:space="preserve">, </w:t>
      </w:r>
    </w:p>
    <w:p w14:paraId="67175F97" w14:textId="4A1B20C8" w:rsidR="001F1849" w:rsidRPr="00C12B4D" w:rsidRDefault="00AF0265" w:rsidP="00FA138C">
      <w:pPr>
        <w:rPr>
          <w:lang w:val="en-US" w:eastAsia="ja-JP"/>
        </w:rPr>
      </w:pPr>
      <w:r>
        <w:rPr>
          <w:rFonts w:eastAsia="微软雅黑"/>
          <w:color w:val="000000"/>
          <w:bdr w:val="none" w:sz="0" w:space="0" w:color="auto" w:frame="1"/>
        </w:rPr>
        <w:t xml:space="preserve">[2] </w:t>
      </w:r>
      <w:r w:rsidRPr="00AF0265">
        <w:rPr>
          <w:rFonts w:eastAsia="微软雅黑"/>
          <w:color w:val="000000"/>
          <w:bdr w:val="none" w:sz="0" w:space="0" w:color="auto" w:frame="1"/>
        </w:rPr>
        <w:t>R4-2319717</w:t>
      </w:r>
      <w:r w:rsidRPr="00AF0265">
        <w:rPr>
          <w:rFonts w:eastAsia="微软雅黑"/>
          <w:color w:val="000000"/>
          <w:bdr w:val="none" w:sz="0" w:space="0" w:color="auto" w:frame="1"/>
        </w:rPr>
        <w:tab/>
        <w:t>Discussion on feature list and CA remaining issues for Rel-18 FR2 HST</w:t>
      </w:r>
      <w:r>
        <w:rPr>
          <w:rFonts w:eastAsia="微软雅黑"/>
          <w:color w:val="000000"/>
          <w:bdr w:val="none" w:sz="0" w:space="0" w:color="auto" w:frame="1"/>
        </w:rPr>
        <w:t>, Samsung</w:t>
      </w:r>
    </w:p>
    <w:p w14:paraId="36DD85B8" w14:textId="1ED1E7D9" w:rsidR="00FA138C" w:rsidRPr="00FA138C" w:rsidRDefault="00FA138C" w:rsidP="00FA138C">
      <w:pPr>
        <w:rPr>
          <w:lang w:eastAsia="ja-JP"/>
        </w:rPr>
      </w:pPr>
    </w:p>
    <w:p w14:paraId="364E6BB7" w14:textId="24512B63" w:rsidR="00EB47C4" w:rsidRPr="00DD6095" w:rsidRDefault="00EB47C4" w:rsidP="00DD6095">
      <w:pPr>
        <w:pStyle w:val="21"/>
        <w:overflowPunct w:val="0"/>
        <w:autoSpaceDE w:val="0"/>
        <w:autoSpaceDN w:val="0"/>
        <w:adjustRightInd w:val="0"/>
        <w:spacing w:line="240" w:lineRule="auto"/>
        <w:ind w:leftChars="-10" w:left="264"/>
        <w:jc w:val="left"/>
        <w:textAlignment w:val="baseline"/>
        <w:rPr>
          <w:lang w:eastAsia="zh-CN"/>
        </w:rPr>
      </w:pPr>
    </w:p>
    <w:sectPr w:rsidR="00EB47C4" w:rsidRPr="00DD60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07EF0" w14:textId="77777777" w:rsidR="00CD29DF" w:rsidRDefault="00CD29DF" w:rsidP="00FC2656">
      <w:pPr>
        <w:spacing w:after="0" w:line="240" w:lineRule="auto"/>
      </w:pPr>
      <w:r>
        <w:separator/>
      </w:r>
    </w:p>
  </w:endnote>
  <w:endnote w:type="continuationSeparator" w:id="0">
    <w:p w14:paraId="27E31A95" w14:textId="77777777" w:rsidR="00CD29DF" w:rsidRDefault="00CD29D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A8F9A" w14:textId="77777777" w:rsidR="00CD29DF" w:rsidRDefault="00CD29DF" w:rsidP="00FC2656">
      <w:pPr>
        <w:spacing w:after="0" w:line="240" w:lineRule="auto"/>
      </w:pPr>
      <w:r>
        <w:separator/>
      </w:r>
    </w:p>
  </w:footnote>
  <w:footnote w:type="continuationSeparator" w:id="0">
    <w:p w14:paraId="630E3EFD" w14:textId="77777777" w:rsidR="00CD29DF" w:rsidRDefault="00CD29D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9"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4"/>
  </w:num>
  <w:num w:numId="4">
    <w:abstractNumId w:val="1"/>
  </w:num>
  <w:num w:numId="5">
    <w:abstractNumId w:val="11"/>
  </w:num>
  <w:num w:numId="6">
    <w:abstractNumId w:val="2"/>
  </w:num>
  <w:num w:numId="7">
    <w:abstractNumId w:val="0"/>
  </w:num>
  <w:num w:numId="8">
    <w:abstractNumId w:val="8"/>
  </w:num>
  <w:num w:numId="9">
    <w:abstractNumId w:val="9"/>
  </w:num>
  <w:num w:numId="10">
    <w:abstractNumId w:val="12"/>
  </w:num>
  <w:num w:numId="11">
    <w:abstractNumId w:val="6"/>
  </w:num>
  <w:num w:numId="12">
    <w:abstractNumId w:val="10"/>
  </w:num>
  <w:num w:numId="1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6ACC"/>
    <w:rsid w:val="00030B9D"/>
    <w:rsid w:val="0003171D"/>
    <w:rsid w:val="00031C1D"/>
    <w:rsid w:val="00032320"/>
    <w:rsid w:val="000354B4"/>
    <w:rsid w:val="00035C50"/>
    <w:rsid w:val="000457A1"/>
    <w:rsid w:val="00047C6A"/>
    <w:rsid w:val="00050001"/>
    <w:rsid w:val="00052041"/>
    <w:rsid w:val="0005326A"/>
    <w:rsid w:val="00056590"/>
    <w:rsid w:val="000618FB"/>
    <w:rsid w:val="0006266D"/>
    <w:rsid w:val="00065506"/>
    <w:rsid w:val="000662CB"/>
    <w:rsid w:val="0007073C"/>
    <w:rsid w:val="0007382E"/>
    <w:rsid w:val="00074700"/>
    <w:rsid w:val="00075522"/>
    <w:rsid w:val="00076096"/>
    <w:rsid w:val="000766E1"/>
    <w:rsid w:val="00077FF6"/>
    <w:rsid w:val="00080567"/>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D09FD"/>
    <w:rsid w:val="000D0F50"/>
    <w:rsid w:val="000D1436"/>
    <w:rsid w:val="000D44FB"/>
    <w:rsid w:val="000D574B"/>
    <w:rsid w:val="000D6CFC"/>
    <w:rsid w:val="000E12FE"/>
    <w:rsid w:val="000E2D93"/>
    <w:rsid w:val="000E3A9E"/>
    <w:rsid w:val="000E537B"/>
    <w:rsid w:val="000E57D0"/>
    <w:rsid w:val="000E7858"/>
    <w:rsid w:val="000F1688"/>
    <w:rsid w:val="000F259D"/>
    <w:rsid w:val="000F3305"/>
    <w:rsid w:val="000F39CA"/>
    <w:rsid w:val="000F3CA5"/>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51EAC"/>
    <w:rsid w:val="00153528"/>
    <w:rsid w:val="00153F1B"/>
    <w:rsid w:val="00154E68"/>
    <w:rsid w:val="0015705E"/>
    <w:rsid w:val="001609D3"/>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6177"/>
    <w:rsid w:val="001D0363"/>
    <w:rsid w:val="001D12B4"/>
    <w:rsid w:val="001D6441"/>
    <w:rsid w:val="001D7D94"/>
    <w:rsid w:val="001E0A28"/>
    <w:rsid w:val="001E4218"/>
    <w:rsid w:val="001E659F"/>
    <w:rsid w:val="001F0B20"/>
    <w:rsid w:val="001F1849"/>
    <w:rsid w:val="001F2A64"/>
    <w:rsid w:val="00200A62"/>
    <w:rsid w:val="002013CB"/>
    <w:rsid w:val="00203740"/>
    <w:rsid w:val="002062DB"/>
    <w:rsid w:val="0021041A"/>
    <w:rsid w:val="00211C8C"/>
    <w:rsid w:val="002138EA"/>
    <w:rsid w:val="002139EA"/>
    <w:rsid w:val="00213F84"/>
    <w:rsid w:val="0021494B"/>
    <w:rsid w:val="00214FBD"/>
    <w:rsid w:val="00215FF9"/>
    <w:rsid w:val="002206D9"/>
    <w:rsid w:val="00221E08"/>
    <w:rsid w:val="00222897"/>
    <w:rsid w:val="00222B0C"/>
    <w:rsid w:val="00223F35"/>
    <w:rsid w:val="0022589D"/>
    <w:rsid w:val="002262C1"/>
    <w:rsid w:val="002306AA"/>
    <w:rsid w:val="00235394"/>
    <w:rsid w:val="00235577"/>
    <w:rsid w:val="002371B2"/>
    <w:rsid w:val="002435CA"/>
    <w:rsid w:val="00243618"/>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D72"/>
    <w:rsid w:val="00357AAE"/>
    <w:rsid w:val="00357FE7"/>
    <w:rsid w:val="003628B9"/>
    <w:rsid w:val="00362D8F"/>
    <w:rsid w:val="00365211"/>
    <w:rsid w:val="00367724"/>
    <w:rsid w:val="00371081"/>
    <w:rsid w:val="003710BA"/>
    <w:rsid w:val="00373BB5"/>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2063"/>
    <w:rsid w:val="00412EB1"/>
    <w:rsid w:val="00413DDE"/>
    <w:rsid w:val="00414118"/>
    <w:rsid w:val="00414495"/>
    <w:rsid w:val="00416084"/>
    <w:rsid w:val="00417CA9"/>
    <w:rsid w:val="004236D7"/>
    <w:rsid w:val="00424F8C"/>
    <w:rsid w:val="00425504"/>
    <w:rsid w:val="004271BA"/>
    <w:rsid w:val="00430497"/>
    <w:rsid w:val="00430EA5"/>
    <w:rsid w:val="004346D3"/>
    <w:rsid w:val="00434DC1"/>
    <w:rsid w:val="004350F4"/>
    <w:rsid w:val="004412A0"/>
    <w:rsid w:val="00441E53"/>
    <w:rsid w:val="00442081"/>
    <w:rsid w:val="00442337"/>
    <w:rsid w:val="00446408"/>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663"/>
    <w:rsid w:val="00491E54"/>
    <w:rsid w:val="00495E3B"/>
    <w:rsid w:val="004A1E6A"/>
    <w:rsid w:val="004A258E"/>
    <w:rsid w:val="004A37AC"/>
    <w:rsid w:val="004A495F"/>
    <w:rsid w:val="004A7544"/>
    <w:rsid w:val="004B04C2"/>
    <w:rsid w:val="004B6B0F"/>
    <w:rsid w:val="004C54E5"/>
    <w:rsid w:val="004C75A4"/>
    <w:rsid w:val="004C7DC8"/>
    <w:rsid w:val="004D21B0"/>
    <w:rsid w:val="004D33B8"/>
    <w:rsid w:val="004D3870"/>
    <w:rsid w:val="004D3C65"/>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117A9"/>
    <w:rsid w:val="00511F57"/>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7205"/>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B48"/>
    <w:rsid w:val="005B13D0"/>
    <w:rsid w:val="005B4802"/>
    <w:rsid w:val="005B4ACA"/>
    <w:rsid w:val="005B669A"/>
    <w:rsid w:val="005B6939"/>
    <w:rsid w:val="005C00B3"/>
    <w:rsid w:val="005C1276"/>
    <w:rsid w:val="005C1EA6"/>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40F8"/>
    <w:rsid w:val="006144A1"/>
    <w:rsid w:val="00615EBB"/>
    <w:rsid w:val="00616096"/>
    <w:rsid w:val="006160A2"/>
    <w:rsid w:val="00617509"/>
    <w:rsid w:val="0062292E"/>
    <w:rsid w:val="00624280"/>
    <w:rsid w:val="00624B15"/>
    <w:rsid w:val="006253B6"/>
    <w:rsid w:val="00626EFE"/>
    <w:rsid w:val="00627445"/>
    <w:rsid w:val="006302AA"/>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573DC"/>
    <w:rsid w:val="006670AC"/>
    <w:rsid w:val="00671226"/>
    <w:rsid w:val="00672307"/>
    <w:rsid w:val="00673A42"/>
    <w:rsid w:val="00674FAE"/>
    <w:rsid w:val="006808C6"/>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5463"/>
    <w:rsid w:val="00716AC0"/>
    <w:rsid w:val="007274AA"/>
    <w:rsid w:val="00730655"/>
    <w:rsid w:val="00730FD5"/>
    <w:rsid w:val="00731414"/>
    <w:rsid w:val="00731D77"/>
    <w:rsid w:val="00732360"/>
    <w:rsid w:val="0073390A"/>
    <w:rsid w:val="00734E64"/>
    <w:rsid w:val="00736B37"/>
    <w:rsid w:val="0074057D"/>
    <w:rsid w:val="00740A35"/>
    <w:rsid w:val="00744834"/>
    <w:rsid w:val="00745996"/>
    <w:rsid w:val="007520B4"/>
    <w:rsid w:val="007549D3"/>
    <w:rsid w:val="007637E0"/>
    <w:rsid w:val="007642F9"/>
    <w:rsid w:val="007655D5"/>
    <w:rsid w:val="00772CCA"/>
    <w:rsid w:val="007763C1"/>
    <w:rsid w:val="00777E82"/>
    <w:rsid w:val="00781359"/>
    <w:rsid w:val="00783C87"/>
    <w:rsid w:val="007846C2"/>
    <w:rsid w:val="00785B4D"/>
    <w:rsid w:val="00786921"/>
    <w:rsid w:val="00792B0C"/>
    <w:rsid w:val="00792D70"/>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66C1"/>
    <w:rsid w:val="008506ED"/>
    <w:rsid w:val="00850C75"/>
    <w:rsid w:val="00850E39"/>
    <w:rsid w:val="008527A4"/>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EE1"/>
    <w:rsid w:val="008923C6"/>
    <w:rsid w:val="00893987"/>
    <w:rsid w:val="0089572A"/>
    <w:rsid w:val="008963EF"/>
    <w:rsid w:val="0089688E"/>
    <w:rsid w:val="00897A91"/>
    <w:rsid w:val="008A1FBE"/>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B7C"/>
    <w:rsid w:val="008D30BE"/>
    <w:rsid w:val="008D5427"/>
    <w:rsid w:val="008D6657"/>
    <w:rsid w:val="008E1F60"/>
    <w:rsid w:val="008E20E9"/>
    <w:rsid w:val="008E2130"/>
    <w:rsid w:val="008E307E"/>
    <w:rsid w:val="008F4DD1"/>
    <w:rsid w:val="008F6056"/>
    <w:rsid w:val="00902618"/>
    <w:rsid w:val="00902C07"/>
    <w:rsid w:val="0090374B"/>
    <w:rsid w:val="0090428E"/>
    <w:rsid w:val="00905625"/>
    <w:rsid w:val="0090576E"/>
    <w:rsid w:val="00905804"/>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2736"/>
    <w:rsid w:val="009532FE"/>
    <w:rsid w:val="00953E16"/>
    <w:rsid w:val="009542AC"/>
    <w:rsid w:val="0095561F"/>
    <w:rsid w:val="00956AB6"/>
    <w:rsid w:val="00961BB2"/>
    <w:rsid w:val="00961E92"/>
    <w:rsid w:val="00962108"/>
    <w:rsid w:val="00962BD4"/>
    <w:rsid w:val="009638D6"/>
    <w:rsid w:val="00963966"/>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FA"/>
    <w:rsid w:val="009A3ADC"/>
    <w:rsid w:val="009A68E6"/>
    <w:rsid w:val="009A7123"/>
    <w:rsid w:val="009A7598"/>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5DA"/>
    <w:rsid w:val="009E375F"/>
    <w:rsid w:val="009E39D4"/>
    <w:rsid w:val="009E412D"/>
    <w:rsid w:val="009E433B"/>
    <w:rsid w:val="009E5401"/>
    <w:rsid w:val="009F23A9"/>
    <w:rsid w:val="009F6AB0"/>
    <w:rsid w:val="009F721E"/>
    <w:rsid w:val="00A00FB2"/>
    <w:rsid w:val="00A0583F"/>
    <w:rsid w:val="00A0758F"/>
    <w:rsid w:val="00A11080"/>
    <w:rsid w:val="00A11A97"/>
    <w:rsid w:val="00A1570A"/>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B0C57"/>
    <w:rsid w:val="00AB1195"/>
    <w:rsid w:val="00AB4182"/>
    <w:rsid w:val="00AB5E72"/>
    <w:rsid w:val="00AB7CDA"/>
    <w:rsid w:val="00AC04D3"/>
    <w:rsid w:val="00AC27DB"/>
    <w:rsid w:val="00AC6D6B"/>
    <w:rsid w:val="00AC720D"/>
    <w:rsid w:val="00AD21B8"/>
    <w:rsid w:val="00AD7736"/>
    <w:rsid w:val="00AE10CE"/>
    <w:rsid w:val="00AE3303"/>
    <w:rsid w:val="00AE6A1E"/>
    <w:rsid w:val="00AE70D4"/>
    <w:rsid w:val="00AE7868"/>
    <w:rsid w:val="00AF0265"/>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472D"/>
    <w:rsid w:val="00B24CA0"/>
    <w:rsid w:val="00B2549F"/>
    <w:rsid w:val="00B30EA3"/>
    <w:rsid w:val="00B31F6C"/>
    <w:rsid w:val="00B339F4"/>
    <w:rsid w:val="00B4108D"/>
    <w:rsid w:val="00B4161A"/>
    <w:rsid w:val="00B42814"/>
    <w:rsid w:val="00B55914"/>
    <w:rsid w:val="00B55D12"/>
    <w:rsid w:val="00B57265"/>
    <w:rsid w:val="00B57528"/>
    <w:rsid w:val="00B61D37"/>
    <w:rsid w:val="00B62EC1"/>
    <w:rsid w:val="00B633AE"/>
    <w:rsid w:val="00B6524F"/>
    <w:rsid w:val="00B65A81"/>
    <w:rsid w:val="00B665D2"/>
    <w:rsid w:val="00B6737C"/>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5982"/>
    <w:rsid w:val="00BC60BF"/>
    <w:rsid w:val="00BC7BDF"/>
    <w:rsid w:val="00BD28BF"/>
    <w:rsid w:val="00BD6404"/>
    <w:rsid w:val="00BD6E7F"/>
    <w:rsid w:val="00BE33AE"/>
    <w:rsid w:val="00BF046F"/>
    <w:rsid w:val="00BF1180"/>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BA1"/>
    <w:rsid w:val="00C43DAB"/>
    <w:rsid w:val="00C44D7C"/>
    <w:rsid w:val="00C47F08"/>
    <w:rsid w:val="00C514A6"/>
    <w:rsid w:val="00C51C9F"/>
    <w:rsid w:val="00C543DB"/>
    <w:rsid w:val="00C56D90"/>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E00"/>
    <w:rsid w:val="00CB6DA7"/>
    <w:rsid w:val="00CB7E4C"/>
    <w:rsid w:val="00CC0303"/>
    <w:rsid w:val="00CC25B4"/>
    <w:rsid w:val="00CC2606"/>
    <w:rsid w:val="00CC495A"/>
    <w:rsid w:val="00CC5F88"/>
    <w:rsid w:val="00CC69C8"/>
    <w:rsid w:val="00CC77A2"/>
    <w:rsid w:val="00CC7B4E"/>
    <w:rsid w:val="00CD096B"/>
    <w:rsid w:val="00CD0B93"/>
    <w:rsid w:val="00CD13D3"/>
    <w:rsid w:val="00CD292F"/>
    <w:rsid w:val="00CD29DF"/>
    <w:rsid w:val="00CD307E"/>
    <w:rsid w:val="00CD629F"/>
    <w:rsid w:val="00CD6A1B"/>
    <w:rsid w:val="00CE0A7F"/>
    <w:rsid w:val="00CE10CC"/>
    <w:rsid w:val="00CE1718"/>
    <w:rsid w:val="00CF383C"/>
    <w:rsid w:val="00CF4156"/>
    <w:rsid w:val="00D0036C"/>
    <w:rsid w:val="00D03D00"/>
    <w:rsid w:val="00D05C30"/>
    <w:rsid w:val="00D064E2"/>
    <w:rsid w:val="00D10052"/>
    <w:rsid w:val="00D11359"/>
    <w:rsid w:val="00D11510"/>
    <w:rsid w:val="00D21920"/>
    <w:rsid w:val="00D22D21"/>
    <w:rsid w:val="00D26A66"/>
    <w:rsid w:val="00D3188C"/>
    <w:rsid w:val="00D33834"/>
    <w:rsid w:val="00D35F9B"/>
    <w:rsid w:val="00D36B69"/>
    <w:rsid w:val="00D408DD"/>
    <w:rsid w:val="00D4283C"/>
    <w:rsid w:val="00D45CC0"/>
    <w:rsid w:val="00D45D72"/>
    <w:rsid w:val="00D45DD6"/>
    <w:rsid w:val="00D47155"/>
    <w:rsid w:val="00D520E4"/>
    <w:rsid w:val="00D531BD"/>
    <w:rsid w:val="00D53A38"/>
    <w:rsid w:val="00D53A8F"/>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4F72"/>
    <w:rsid w:val="00DC7075"/>
    <w:rsid w:val="00DC77DC"/>
    <w:rsid w:val="00DC7B13"/>
    <w:rsid w:val="00DD0453"/>
    <w:rsid w:val="00DD0C2C"/>
    <w:rsid w:val="00DD0DCC"/>
    <w:rsid w:val="00DD19DE"/>
    <w:rsid w:val="00DD20E5"/>
    <w:rsid w:val="00DD28BC"/>
    <w:rsid w:val="00DD3949"/>
    <w:rsid w:val="00DD4A58"/>
    <w:rsid w:val="00DD6095"/>
    <w:rsid w:val="00DD6D6E"/>
    <w:rsid w:val="00DD73BF"/>
    <w:rsid w:val="00DE31F0"/>
    <w:rsid w:val="00DE3D1C"/>
    <w:rsid w:val="00DF1441"/>
    <w:rsid w:val="00DF14A8"/>
    <w:rsid w:val="00DF4EEC"/>
    <w:rsid w:val="00E0227D"/>
    <w:rsid w:val="00E04B84"/>
    <w:rsid w:val="00E05314"/>
    <w:rsid w:val="00E06466"/>
    <w:rsid w:val="00E06835"/>
    <w:rsid w:val="00E06888"/>
    <w:rsid w:val="00E06FDA"/>
    <w:rsid w:val="00E07819"/>
    <w:rsid w:val="00E11FA6"/>
    <w:rsid w:val="00E160A5"/>
    <w:rsid w:val="00E16CDA"/>
    <w:rsid w:val="00E1713D"/>
    <w:rsid w:val="00E2003C"/>
    <w:rsid w:val="00E201A2"/>
    <w:rsid w:val="00E20232"/>
    <w:rsid w:val="00E20A43"/>
    <w:rsid w:val="00E23898"/>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rsid w:val="0021041A"/>
    <w:pPr>
      <w:overflowPunct w:val="0"/>
      <w:autoSpaceDE w:val="0"/>
      <w:autoSpaceDN w:val="0"/>
      <w:spacing w:line="240" w:lineRule="auto"/>
      <w:ind w:firstLine="420"/>
      <w:jc w:val="left"/>
    </w:pPr>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894</Words>
  <Characters>5099</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Samsung-#109 (Haijie Qiu)</cp:lastModifiedBy>
  <cp:revision>8</cp:revision>
  <cp:lastPrinted>2019-04-25T01:09:00Z</cp:lastPrinted>
  <dcterms:created xsi:type="dcterms:W3CDTF">2023-10-30T04:58:00Z</dcterms:created>
  <dcterms:modified xsi:type="dcterms:W3CDTF">2023-11-03T10:14:00Z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